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23" w:rsidRPr="00500923" w:rsidRDefault="00500923" w:rsidP="00500923">
      <w:pPr>
        <w:spacing w:after="0" w:line="240" w:lineRule="auto"/>
        <w:jc w:val="center"/>
        <w:rPr>
          <w:rFonts w:ascii="Verdana" w:eastAsia="Times New Roman" w:hAnsi="Verdana" w:cs="Times New Roman"/>
          <w:sz w:val="20"/>
          <w:szCs w:val="20"/>
        </w:rPr>
      </w:pPr>
      <w:r w:rsidRPr="00500923">
        <w:rPr>
          <w:rFonts w:ascii="Verdana" w:eastAsia="Times New Roman" w:hAnsi="Verdana" w:cs="Times New Roman"/>
          <w:sz w:val="20"/>
          <w:szCs w:val="20"/>
        </w:rPr>
        <w:t xml:space="preserve">Emerging Issues Copyright 2010, Matthew Bender &amp; Company, Inc., </w:t>
      </w:r>
      <w:proofErr w:type="gramStart"/>
      <w:r w:rsidRPr="00500923">
        <w:rPr>
          <w:rFonts w:ascii="Verdana" w:eastAsia="Times New Roman" w:hAnsi="Verdana" w:cs="Times New Roman"/>
          <w:sz w:val="20"/>
          <w:szCs w:val="20"/>
        </w:rPr>
        <w:t>a</w:t>
      </w:r>
      <w:proofErr w:type="gramEnd"/>
      <w:r w:rsidRPr="00500923">
        <w:rPr>
          <w:rFonts w:ascii="Verdana" w:eastAsia="Times New Roman" w:hAnsi="Verdana" w:cs="Times New Roman"/>
          <w:sz w:val="20"/>
          <w:szCs w:val="20"/>
        </w:rPr>
        <w:t xml:space="preserve"> member of the LexisNexis Group. All Rights Reserved.</w:t>
      </w:r>
    </w:p>
    <w:p w:rsidR="00500923" w:rsidRPr="00500923" w:rsidRDefault="00500923" w:rsidP="00500923">
      <w:pPr>
        <w:spacing w:after="0" w:line="240" w:lineRule="auto"/>
        <w:jc w:val="center"/>
        <w:rPr>
          <w:rFonts w:ascii="Verdana" w:eastAsia="Times New Roman" w:hAnsi="Verdana" w:cs="Times New Roman"/>
          <w:sz w:val="20"/>
          <w:szCs w:val="20"/>
        </w:rPr>
      </w:pPr>
      <w:r w:rsidRPr="00500923">
        <w:rPr>
          <w:rFonts w:ascii="Verdana" w:eastAsia="Times New Roman" w:hAnsi="Verdana" w:cs="Times New Roman"/>
          <w:sz w:val="20"/>
          <w:szCs w:val="20"/>
        </w:rPr>
        <w:br/>
      </w:r>
      <w:r w:rsidRPr="00500923">
        <w:rPr>
          <w:rFonts w:ascii="Verdana" w:eastAsia="Times New Roman" w:hAnsi="Verdana" w:cs="Times New Roman"/>
          <w:b/>
          <w:bCs/>
          <w:i/>
          <w:iCs/>
          <w:sz w:val="20"/>
          <w:szCs w:val="20"/>
        </w:rPr>
        <w:t>The 2010 Gulf Oil Spill and Questions of Liability</w:t>
      </w:r>
    </w:p>
    <w:p w:rsidR="00500923" w:rsidRPr="00500923" w:rsidRDefault="00500923" w:rsidP="00500923">
      <w:pPr>
        <w:spacing w:after="0" w:line="240" w:lineRule="auto"/>
        <w:jc w:val="center"/>
        <w:rPr>
          <w:rFonts w:ascii="Verdana" w:eastAsia="Times New Roman" w:hAnsi="Verdana" w:cs="Times New Roman"/>
          <w:sz w:val="20"/>
          <w:szCs w:val="20"/>
        </w:rPr>
      </w:pPr>
      <w:r w:rsidRPr="00500923">
        <w:rPr>
          <w:rFonts w:ascii="Verdana" w:eastAsia="Times New Roman" w:hAnsi="Verdana" w:cs="Times New Roman"/>
          <w:sz w:val="20"/>
          <w:szCs w:val="20"/>
        </w:rPr>
        <w:br/>
        <w:t>2010 Emerging Issues 5281</w:t>
      </w:r>
    </w:p>
    <w:p w:rsidR="00500923" w:rsidRPr="00500923" w:rsidRDefault="00500923" w:rsidP="00500923">
      <w:pPr>
        <w:spacing w:after="0" w:line="240" w:lineRule="auto"/>
        <w:rPr>
          <w:rFonts w:ascii="Verdana" w:eastAsia="Times New Roman" w:hAnsi="Verdana" w:cs="Times New Roman"/>
          <w:sz w:val="20"/>
          <w:szCs w:val="20"/>
        </w:rPr>
      </w:pPr>
      <w:r w:rsidRPr="00500923">
        <w:rPr>
          <w:rFonts w:ascii="Verdana" w:eastAsia="Times New Roman" w:hAnsi="Verdana" w:cs="Times New Roman"/>
          <w:sz w:val="20"/>
          <w:szCs w:val="20"/>
        </w:rPr>
        <w:br/>
        <w:t>The 2010 Gulf Oil Spill and Questions of Liability</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proofErr w:type="gramStart"/>
      <w:r w:rsidRPr="00500923">
        <w:rPr>
          <w:rFonts w:ascii="Verdana" w:eastAsia="Times New Roman" w:hAnsi="Verdana" w:cs="Times New Roman"/>
          <w:sz w:val="20"/>
          <w:szCs w:val="20"/>
        </w:rPr>
        <w:t>By</w:t>
      </w:r>
      <w:proofErr w:type="gramEnd"/>
      <w:r w:rsidRPr="00500923">
        <w:rPr>
          <w:rFonts w:ascii="Verdana" w:eastAsia="Times New Roman" w:hAnsi="Verdana" w:cs="Times New Roman"/>
          <w:sz w:val="20"/>
          <w:szCs w:val="20"/>
        </w:rPr>
        <w:t xml:space="preserve"> Andrea J. Chambers and Jerry D. Brown </w:t>
      </w:r>
    </w:p>
    <w:p w:rsidR="00500923" w:rsidRPr="00500923" w:rsidRDefault="00500923" w:rsidP="00500923">
      <w:pPr>
        <w:spacing w:after="0" w:line="240" w:lineRule="auto"/>
        <w:jc w:val="center"/>
        <w:rPr>
          <w:rFonts w:ascii="Verdana" w:eastAsia="Times New Roman" w:hAnsi="Verdana" w:cs="Times New Roman"/>
          <w:sz w:val="20"/>
          <w:szCs w:val="20"/>
        </w:rPr>
      </w:pPr>
      <w:r w:rsidRPr="00500923">
        <w:rPr>
          <w:rFonts w:ascii="Verdana" w:eastAsia="Times New Roman" w:hAnsi="Verdana" w:cs="Times New Roman"/>
          <w:sz w:val="20"/>
          <w:szCs w:val="20"/>
        </w:rPr>
        <w:br/>
        <w:t>August 25, 2010</w:t>
      </w:r>
    </w:p>
    <w:p w:rsidR="00500923" w:rsidRPr="00500923" w:rsidRDefault="00500923" w:rsidP="00500923">
      <w:pPr>
        <w:spacing w:after="0" w:line="240" w:lineRule="auto"/>
        <w:rPr>
          <w:rFonts w:ascii="Verdana" w:eastAsia="Times New Roman" w:hAnsi="Verdana" w:cs="Times New Roman"/>
          <w:sz w:val="20"/>
          <w:szCs w:val="20"/>
        </w:rPr>
      </w:pPr>
      <w:r w:rsidRPr="00500923">
        <w:rPr>
          <w:rFonts w:ascii="Verdana" w:eastAsia="Times New Roman" w:hAnsi="Verdana" w:cs="Times New Roman"/>
          <w:sz w:val="20"/>
          <w:szCs w:val="20"/>
        </w:rPr>
        <w:br/>
      </w:r>
      <w:bookmarkStart w:id="0" w:name="SEGH"/>
      <w:r w:rsidRPr="00500923">
        <w:rPr>
          <w:rFonts w:ascii="Verdana" w:eastAsia="Times New Roman" w:hAnsi="Verdana" w:cs="Times New Roman"/>
          <w:b/>
          <w:bCs/>
          <w:sz w:val="20"/>
          <w:szCs w:val="20"/>
        </w:rPr>
        <w:t>SUMMARY:</w:t>
      </w:r>
      <w:r w:rsidRPr="00500923">
        <w:rPr>
          <w:rFonts w:ascii="Verdana" w:eastAsia="Times New Roman" w:hAnsi="Verdana" w:cs="Times New Roman"/>
          <w:sz w:val="20"/>
          <w:szCs w:val="20"/>
        </w:rPr>
        <w:t xml:space="preserve"> The Gulf oil spill of 2010 has rapidly generated a proliferation of lawsuits and legislative proposals. This Emerging Issues Analysis discusses the facts and circumstances surrounding the Deepwater Horizon explosion and Gulf oil spill and analyzes the legal issues raised and the legislative responses now being considered by Congress.</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PDF LINK:</w:t>
      </w:r>
      <w:r w:rsidRPr="00500923">
        <w:rPr>
          <w:rFonts w:ascii="Verdana" w:eastAsia="Times New Roman" w:hAnsi="Verdana" w:cs="Times New Roman"/>
          <w:sz w:val="20"/>
          <w:szCs w:val="20"/>
        </w:rPr>
        <w:t xml:space="preserve"> Click here for enhanced PDF of this Emerging Issues Analysis at no additional charge</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ARTICLE:</w:t>
      </w:r>
      <w:r w:rsidRPr="00500923">
        <w:rPr>
          <w:rFonts w:ascii="Verdana" w:eastAsia="Times New Roman" w:hAnsi="Verdana" w:cs="Times New Roman"/>
          <w:sz w:val="20"/>
          <w:szCs w:val="20"/>
        </w:rPr>
        <w:t xml:space="preserve"> The offshore oil drilling industry will be forever changed by the explosion of the Transocean Deepwater Horizon drilling rig and subsequent oil spill in the Gulf of Mexico on April 20, 2010. This article briefly discusses the facts and circumstances surrounding the Deepwater Horizon explosion and Gulf oil spill and analyzes the legal issues raised and the legislative responses now being considered by Congress. It points to the urgent need for the energy industry to actively engage in the transformation of the regulatory and legal landscape resulting from this disaster so that an effective new regulatory and legal framework will allow the industry to thrive.</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Background</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The Deepwater Horizon drilling rig, built in 2001, was a semi-submersible mobile offshore drilling rig, capable of operating in water up to 8,000 feet deep and able to drill down to 30,000 feet. The Horizon was owned by Transocean Services, Ltd. ("Transocean"), and was under lease to British Petroleum, PLC ("BP") from March 2008 to September 2013. At the time of the explosion, the Horizon was drilling an exploratory well 5,000 feet below the ocean's surface in the </w:t>
      </w:r>
      <w:proofErr w:type="spellStart"/>
      <w:r w:rsidRPr="00500923">
        <w:rPr>
          <w:rFonts w:ascii="Verdana" w:eastAsia="Times New Roman" w:hAnsi="Verdana" w:cs="Times New Roman"/>
          <w:sz w:val="20"/>
          <w:szCs w:val="20"/>
        </w:rPr>
        <w:t>Macondo</w:t>
      </w:r>
      <w:proofErr w:type="spellEnd"/>
      <w:r w:rsidRPr="00500923">
        <w:rPr>
          <w:rFonts w:ascii="Verdana" w:eastAsia="Times New Roman" w:hAnsi="Verdana" w:cs="Times New Roman"/>
          <w:sz w:val="20"/>
          <w:szCs w:val="20"/>
        </w:rPr>
        <w:t xml:space="preserve"> Prospect, about 41 miles off the Louisiana coast. Halliburton Energy Services, Inc. ("Halliburton") was installing production casing and cement for the newly drilled exploratory well, which was to be tested for integrity, and a cement plug set, after which no further activities would take place until the well was later activated as a subsea producer. </w:t>
      </w:r>
      <w:bookmarkStart w:id="1" w:name="r1"/>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w:t>
      </w:r>
      <w:r w:rsidRPr="00500923">
        <w:rPr>
          <w:rFonts w:ascii="Verdana" w:eastAsia="Times New Roman" w:hAnsi="Verdana" w:cs="Times New Roman"/>
          <w:sz w:val="20"/>
          <w:szCs w:val="20"/>
        </w:rPr>
        <w:fldChar w:fldCharType="end"/>
      </w:r>
      <w:bookmarkEnd w:id="1"/>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The Deepwater Horizon explosion of April 20 caused a rupture in the wellhead on the Gulf floor, </w:t>
      </w:r>
      <w:bookmarkStart w:id="2" w:name="r2"/>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"n2"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2</w:t>
      </w:r>
      <w:r w:rsidRPr="00500923">
        <w:rPr>
          <w:rFonts w:ascii="Verdana" w:eastAsia="Times New Roman" w:hAnsi="Verdana" w:cs="Times New Roman"/>
          <w:sz w:val="20"/>
          <w:szCs w:val="20"/>
        </w:rPr>
        <w:fldChar w:fldCharType="end"/>
      </w:r>
      <w:bookmarkEnd w:id="2"/>
      <w:r w:rsidRPr="00500923">
        <w:rPr>
          <w:rFonts w:ascii="Verdana" w:eastAsia="Times New Roman" w:hAnsi="Verdana" w:cs="Times New Roman"/>
          <w:sz w:val="20"/>
          <w:szCs w:val="20"/>
        </w:rPr>
        <w:t xml:space="preserve"> resulting in the largest offshore spill in history. </w:t>
      </w:r>
      <w:bookmarkStart w:id="3" w:name="r3"/>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"n3"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3</w:t>
      </w:r>
      <w:r w:rsidRPr="00500923">
        <w:rPr>
          <w:rFonts w:ascii="Verdana" w:eastAsia="Times New Roman" w:hAnsi="Verdana" w:cs="Times New Roman"/>
          <w:sz w:val="20"/>
          <w:szCs w:val="20"/>
        </w:rPr>
        <w:fldChar w:fldCharType="end"/>
      </w:r>
      <w:bookmarkEnd w:id="3"/>
      <w:r w:rsidRPr="00500923">
        <w:rPr>
          <w:rFonts w:ascii="Verdana" w:eastAsia="Times New Roman" w:hAnsi="Verdana" w:cs="Times New Roman"/>
          <w:sz w:val="20"/>
          <w:szCs w:val="20"/>
        </w:rPr>
        <w:t xml:space="preserve"> By early June 2010, it was estimated to be among the largest oil spills in history, with hundreds of millions of gallons of oil spilled into the Gulf of Mexico to date. The explosion killed 11 rig workers and injured 17 others. As of July 15, 2010, BP appeared to have capped the gushing oil wellhead, though there remained a risk that a significant pressure shift could create a new leak on the sea floor. </w:t>
      </w:r>
      <w:bookmarkStart w:id="4" w:name="r4"/>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"n4"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4</w:t>
      </w:r>
      <w:r w:rsidRPr="00500923">
        <w:rPr>
          <w:rFonts w:ascii="Verdana" w:eastAsia="Times New Roman" w:hAnsi="Verdana" w:cs="Times New Roman"/>
          <w:sz w:val="20"/>
          <w:szCs w:val="20"/>
        </w:rPr>
        <w:fldChar w:fldCharType="end"/>
      </w:r>
      <w:bookmarkEnd w:id="4"/>
      <w:r w:rsidRPr="00500923">
        <w:rPr>
          <w:rFonts w:ascii="Verdana" w:eastAsia="Times New Roman" w:hAnsi="Verdana" w:cs="Times New Roman"/>
          <w:sz w:val="20"/>
          <w:szCs w:val="20"/>
        </w:rPr>
        <w:t xml:space="preserve"> The drilling of relief wells to relieve this pressure and permanently close the well is ongoing and nearly completed.</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The Flow Rate Technical Group and a team of scientists with the U.S. Department of Energy estimate that roughly 4.9 million barrels of oil have been released as a result of the Gulf oil spill. The flow rate of released oil was first estimated at 62,000 barrels a day at the start of the spill in late April. This estimate was reduced to 53,000 barrels a day immediately before the well was sealed on July 15. </w:t>
      </w:r>
      <w:bookmarkStart w:id="5" w:name="r5"/>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"n5"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5</w:t>
      </w:r>
      <w:r w:rsidRPr="00500923">
        <w:rPr>
          <w:rFonts w:ascii="Verdana" w:eastAsia="Times New Roman" w:hAnsi="Verdana" w:cs="Times New Roman"/>
          <w:sz w:val="20"/>
          <w:szCs w:val="20"/>
        </w:rPr>
        <w:fldChar w:fldCharType="end"/>
      </w:r>
      <w:bookmarkEnd w:id="5"/>
      <w:r w:rsidRPr="00500923">
        <w:rPr>
          <w:rFonts w:ascii="Verdana" w:eastAsia="Times New Roman" w:hAnsi="Verdana" w:cs="Times New Roman"/>
          <w:sz w:val="20"/>
          <w:szCs w:val="20"/>
        </w:rPr>
        <w:t xml:space="preserve"> The resulting oil slick covers at least 2,500 square miles. </w:t>
      </w:r>
      <w:bookmarkStart w:id="6" w:name="r6"/>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"n6"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6</w:t>
      </w:r>
      <w:r w:rsidRPr="00500923">
        <w:rPr>
          <w:rFonts w:ascii="Verdana" w:eastAsia="Times New Roman" w:hAnsi="Verdana" w:cs="Times New Roman"/>
          <w:sz w:val="20"/>
          <w:szCs w:val="20"/>
        </w:rPr>
        <w:fldChar w:fldCharType="end"/>
      </w:r>
      <w:bookmarkEnd w:id="6"/>
      <w:r w:rsidRPr="00500923">
        <w:rPr>
          <w:rFonts w:ascii="Verdana" w:eastAsia="Times New Roman" w:hAnsi="Verdana" w:cs="Times New Roman"/>
          <w:sz w:val="20"/>
          <w:szCs w:val="20"/>
        </w:rPr>
        <w:t xml:space="preserve"> Scientists have also reported immense underwater plumes of oil not visible from the surface. </w:t>
      </w:r>
      <w:bookmarkStart w:id="7" w:name="r7"/>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"n7"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7</w:t>
      </w:r>
      <w:r w:rsidRPr="00500923">
        <w:rPr>
          <w:rFonts w:ascii="Verdana" w:eastAsia="Times New Roman" w:hAnsi="Verdana" w:cs="Times New Roman"/>
          <w:sz w:val="20"/>
          <w:szCs w:val="20"/>
        </w:rPr>
        <w:fldChar w:fldCharType="end"/>
      </w:r>
      <w:bookmarkEnd w:id="7"/>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To date, almost 116,000 claims have been submitted to BP and more than 67,500 payments have been made, totaling $207 million. </w:t>
      </w:r>
      <w:bookmarkStart w:id="8" w:name="r8"/>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"n8"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8</w:t>
      </w:r>
      <w:r w:rsidRPr="00500923">
        <w:rPr>
          <w:rFonts w:ascii="Verdana" w:eastAsia="Times New Roman" w:hAnsi="Verdana" w:cs="Times New Roman"/>
          <w:sz w:val="20"/>
          <w:szCs w:val="20"/>
        </w:rPr>
        <w:fldChar w:fldCharType="end"/>
      </w:r>
      <w:bookmarkEnd w:id="8"/>
      <w:r w:rsidRPr="00500923">
        <w:rPr>
          <w:rFonts w:ascii="Verdana" w:eastAsia="Times New Roman" w:hAnsi="Verdana" w:cs="Times New Roman"/>
          <w:sz w:val="20"/>
          <w:szCs w:val="20"/>
        </w:rPr>
        <w:t xml:space="preserve"> Including the cost of the spill response, containment, relief well drilling, grants to the Gulf </w:t>
      </w:r>
      <w:proofErr w:type="gramStart"/>
      <w:r w:rsidRPr="00500923">
        <w:rPr>
          <w:rFonts w:ascii="Verdana" w:eastAsia="Times New Roman" w:hAnsi="Verdana" w:cs="Times New Roman"/>
          <w:sz w:val="20"/>
          <w:szCs w:val="20"/>
        </w:rPr>
        <w:t>states</w:t>
      </w:r>
      <w:proofErr w:type="gramEnd"/>
      <w:r w:rsidRPr="00500923">
        <w:rPr>
          <w:rFonts w:ascii="Verdana" w:eastAsia="Times New Roman" w:hAnsi="Verdana" w:cs="Times New Roman"/>
          <w:sz w:val="20"/>
          <w:szCs w:val="20"/>
        </w:rPr>
        <w:t xml:space="preserve">, payment of claims, and U.S. government costs, BP claims to have already spent $3.95 billion. </w:t>
      </w:r>
      <w:bookmarkStart w:id="9" w:name="r9"/>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"n9"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9</w:t>
      </w:r>
      <w:r w:rsidRPr="00500923">
        <w:rPr>
          <w:rFonts w:ascii="Verdana" w:eastAsia="Times New Roman" w:hAnsi="Verdana" w:cs="Times New Roman"/>
          <w:sz w:val="20"/>
          <w:szCs w:val="20"/>
        </w:rPr>
        <w:fldChar w:fldCharType="end"/>
      </w:r>
      <w:bookmarkEnd w:id="9"/>
      <w:r w:rsidRPr="00500923">
        <w:rPr>
          <w:rFonts w:ascii="Verdana" w:eastAsia="Times New Roman" w:hAnsi="Verdana" w:cs="Times New Roman"/>
          <w:sz w:val="20"/>
          <w:szCs w:val="20"/>
        </w:rPr>
        <w:t xml:space="preserve"> The spill has the potential to cause extensive damage both to marine and wildlife habitats on the Gulf coast and to the Gulf's fishing and tourism industries. The U.S. government named BP as the responsible party for the oil spill. </w:t>
      </w:r>
      <w:bookmarkStart w:id="10" w:name="r10"/>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"n10"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10</w:t>
      </w:r>
      <w:r w:rsidRPr="00500923">
        <w:rPr>
          <w:rFonts w:ascii="Verdana" w:eastAsia="Times New Roman" w:hAnsi="Verdana" w:cs="Times New Roman"/>
          <w:sz w:val="20"/>
          <w:szCs w:val="20"/>
        </w:rPr>
        <w:fldChar w:fldCharType="end"/>
      </w:r>
      <w:bookmarkEnd w:id="10"/>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Legal Issues</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Gulf oil spill has rapidly generated a proliferation of lawsuits, raising numerous legal issues with lasting wide-ranging consequences, not only for the litigating parties but for the energy industry as well.</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The number of claims is expected to grow considerably. Moreover, in addition to potential liability for personal injury and property damage claims, numerous other federal laws are implicated in the Deepwater Horizon explosion and the resulting oil spill, raising numerous and serious potential liabilities for BP, Transocean and Halliburton. Moreover, issues have been raised about the government's oversight of offshore drilling—specifically, possible failures to properly regulate BP, Transocean and Halliburton. </w:t>
      </w:r>
      <w:bookmarkStart w:id="11" w:name="r11"/>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"n11"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11</w:t>
      </w:r>
      <w:r w:rsidRPr="00500923">
        <w:rPr>
          <w:rFonts w:ascii="Verdana" w:eastAsia="Times New Roman" w:hAnsi="Verdana" w:cs="Times New Roman"/>
          <w:sz w:val="20"/>
          <w:szCs w:val="20"/>
        </w:rPr>
        <w:fldChar w:fldCharType="end"/>
      </w:r>
      <w:bookmarkEnd w:id="11"/>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Further, the Obama administration's response to the oil spill has been subjected to legal challenge. Specifically, a six-month moratorium against new offshore drilling in the Gulf of Mexico issued by the U.S. Department of the Interior ("DOI") was challenged in a complaint for an injunction on the grounds that the DOI failed to establish a proper and sufficient record to support the moratorium. </w:t>
      </w:r>
      <w:bookmarkStart w:id="12" w:name="r12"/>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"n12"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12</w:t>
      </w:r>
      <w:r w:rsidRPr="00500923">
        <w:rPr>
          <w:rFonts w:ascii="Verdana" w:eastAsia="Times New Roman" w:hAnsi="Verdana" w:cs="Times New Roman"/>
          <w:sz w:val="20"/>
          <w:szCs w:val="20"/>
        </w:rPr>
        <w:fldChar w:fldCharType="end"/>
      </w:r>
      <w:bookmarkEnd w:id="12"/>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Several congressional hearings into the explosion have already taken place, with at least one BP employee invoking his Fifth Amendment rights against testifying. </w:t>
      </w:r>
      <w:bookmarkStart w:id="13" w:name="r13"/>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"n13"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13</w:t>
      </w:r>
      <w:r w:rsidRPr="00500923">
        <w:rPr>
          <w:rFonts w:ascii="Verdana" w:eastAsia="Times New Roman" w:hAnsi="Verdana" w:cs="Times New Roman"/>
          <w:sz w:val="20"/>
          <w:szCs w:val="20"/>
        </w:rPr>
        <w:fldChar w:fldCharType="end"/>
      </w:r>
      <w:bookmarkEnd w:id="13"/>
      <w:r w:rsidRPr="00500923">
        <w:rPr>
          <w:rFonts w:ascii="Verdana" w:eastAsia="Times New Roman" w:hAnsi="Verdana" w:cs="Times New Roman"/>
          <w:sz w:val="20"/>
          <w:szCs w:val="20"/>
        </w:rPr>
        <w:t xml:space="preserve"> Changes to existing regulations have already been proposed, with more changes likely to follow.</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U.S. Justice Department has initiated both civil and criminal investigations into the explosion and oil spill.</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Oil Spill Legal Overview</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This overview lays out the most common types of legal actions that will arise from a disaster like the BP Deepwater Horizon explosion and oil spill and analyzes the potential long-term impacts in terms of new legislation, new regulations, and new legal liability.</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Gulf oil spill has already generated litigation involving:</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1" name="Picture 1"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claims for economic damages, filed by many Gulf Coast businesses (especially in the fishing and tourism industries, which have already claimed severe impact from the effects of the oil spill);</w:t>
      </w:r>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2" name="Picture 2"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class action suits for such claims in federal courts based on state common law negligence theories and state and federal RICO statutes; </w:t>
      </w:r>
      <w:bookmarkStart w:id="14" w:name="r14"/>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"n14"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14</w:t>
      </w:r>
      <w:r w:rsidRPr="00500923">
        <w:rPr>
          <w:rFonts w:ascii="Verdana" w:eastAsia="Times New Roman" w:hAnsi="Verdana" w:cs="Times New Roman"/>
          <w:sz w:val="20"/>
          <w:szCs w:val="20"/>
        </w:rPr>
        <w:fldChar w:fldCharType="end"/>
      </w:r>
      <w:bookmarkEnd w:id="14"/>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3" name="Picture 3"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derivative actions by BP shareholders under the Securities and Exchange Act of 1934 (15 U.S.C. § 78a </w:t>
      </w:r>
      <w:r w:rsidRPr="00500923">
        <w:rPr>
          <w:rFonts w:ascii="Verdana" w:eastAsia="Times New Roman" w:hAnsi="Verdana" w:cs="Times New Roman"/>
          <w:i/>
          <w:iCs/>
          <w:sz w:val="20"/>
          <w:szCs w:val="20"/>
        </w:rPr>
        <w:t>et seq.</w:t>
      </w:r>
      <w:r w:rsidRPr="00500923">
        <w:rPr>
          <w:rFonts w:ascii="Verdana" w:eastAsia="Times New Roman" w:hAnsi="Verdana" w:cs="Times New Roman"/>
          <w:sz w:val="20"/>
          <w:szCs w:val="20"/>
        </w:rPr>
        <w:t xml:space="preserve">); </w:t>
      </w:r>
      <w:bookmarkStart w:id="15" w:name="r15"/>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"n15"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15</w:t>
      </w:r>
      <w:r w:rsidRPr="00500923">
        <w:rPr>
          <w:rFonts w:ascii="Verdana" w:eastAsia="Times New Roman" w:hAnsi="Verdana" w:cs="Times New Roman"/>
          <w:sz w:val="20"/>
          <w:szCs w:val="20"/>
        </w:rPr>
        <w:fldChar w:fldCharType="end"/>
      </w:r>
      <w:bookmarkEnd w:id="15"/>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4" name="Picture 4"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claims for violations of environmental statutes and procedures under the section 311 of The Clean Water Act ("CWA") of 1972 (33 U.S.C. § 1251 </w:t>
      </w:r>
      <w:r w:rsidRPr="00500923">
        <w:rPr>
          <w:rFonts w:ascii="Verdana" w:eastAsia="Times New Roman" w:hAnsi="Verdana" w:cs="Times New Roman"/>
          <w:i/>
          <w:iCs/>
          <w:sz w:val="20"/>
          <w:szCs w:val="20"/>
        </w:rPr>
        <w:t>et seq.</w:t>
      </w:r>
      <w:r w:rsidRPr="00500923">
        <w:rPr>
          <w:rFonts w:ascii="Verdana" w:eastAsia="Times New Roman" w:hAnsi="Verdana" w:cs="Times New Roman"/>
          <w:sz w:val="20"/>
          <w:szCs w:val="20"/>
        </w:rPr>
        <w:t xml:space="preserve">); </w:t>
      </w:r>
      <w:bookmarkStart w:id="16" w:name="r16"/>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"n16"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16</w:t>
      </w:r>
      <w:r w:rsidRPr="00500923">
        <w:rPr>
          <w:rFonts w:ascii="Verdana" w:eastAsia="Times New Roman" w:hAnsi="Verdana" w:cs="Times New Roman"/>
          <w:sz w:val="20"/>
          <w:szCs w:val="20"/>
        </w:rPr>
        <w:fldChar w:fldCharType="end"/>
      </w:r>
      <w:bookmarkEnd w:id="16"/>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5" name="Picture 5"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National Environmental Policy Act ("NEPA"); </w:t>
      </w:r>
      <w:bookmarkStart w:id="17" w:name="r17"/>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"n17"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17</w:t>
      </w:r>
      <w:r w:rsidRPr="00500923">
        <w:rPr>
          <w:rFonts w:ascii="Verdana" w:eastAsia="Times New Roman" w:hAnsi="Verdana" w:cs="Times New Roman"/>
          <w:sz w:val="20"/>
          <w:szCs w:val="20"/>
        </w:rPr>
        <w:fldChar w:fldCharType="end"/>
      </w:r>
      <w:bookmarkEnd w:id="17"/>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6" name="Picture 6"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Administrative Procedure Act (5 U.S.C. § 551 </w:t>
      </w:r>
      <w:r w:rsidRPr="00500923">
        <w:rPr>
          <w:rFonts w:ascii="Verdana" w:eastAsia="Times New Roman" w:hAnsi="Verdana" w:cs="Times New Roman"/>
          <w:i/>
          <w:iCs/>
          <w:sz w:val="20"/>
          <w:szCs w:val="20"/>
        </w:rPr>
        <w:t>et seq.</w:t>
      </w:r>
      <w:r w:rsidRPr="00500923">
        <w:rPr>
          <w:rFonts w:ascii="Verdana" w:eastAsia="Times New Roman" w:hAnsi="Verdana" w:cs="Times New Roman"/>
          <w:sz w:val="20"/>
          <w:szCs w:val="20"/>
        </w:rPr>
        <w:t xml:space="preserve">) and the National Environmental Policy Act ("NEPA") (42 U.S.C. § 4331 </w:t>
      </w:r>
      <w:r w:rsidRPr="00500923">
        <w:rPr>
          <w:rFonts w:ascii="Verdana" w:eastAsia="Times New Roman" w:hAnsi="Verdana" w:cs="Times New Roman"/>
          <w:i/>
          <w:iCs/>
          <w:sz w:val="20"/>
          <w:szCs w:val="20"/>
        </w:rPr>
        <w:t>et seq.</w:t>
      </w:r>
      <w:r w:rsidRPr="00500923">
        <w:rPr>
          <w:rFonts w:ascii="Verdana" w:eastAsia="Times New Roman" w:hAnsi="Verdana" w:cs="Times New Roman"/>
          <w:sz w:val="20"/>
          <w:szCs w:val="20"/>
        </w:rPr>
        <w:t xml:space="preserve">); </w:t>
      </w:r>
      <w:bookmarkStart w:id="18" w:name="r18"/>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"n18"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18</w:t>
      </w:r>
      <w:r w:rsidRPr="00500923">
        <w:rPr>
          <w:rFonts w:ascii="Verdana" w:eastAsia="Times New Roman" w:hAnsi="Verdana" w:cs="Times New Roman"/>
          <w:sz w:val="20"/>
          <w:szCs w:val="20"/>
        </w:rPr>
        <w:fldChar w:fldCharType="end"/>
      </w:r>
      <w:bookmarkEnd w:id="18"/>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7" name="Picture 7"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Jones Act (46 U.S.C. § 30104), the federal law governing personal injury or wrongful death lawsuits by seamen against their employer; </w:t>
      </w:r>
      <w:bookmarkStart w:id="19" w:name="r19"/>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"n19"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19</w:t>
      </w:r>
      <w:r w:rsidRPr="00500923">
        <w:rPr>
          <w:rFonts w:ascii="Verdana" w:eastAsia="Times New Roman" w:hAnsi="Verdana" w:cs="Times New Roman"/>
          <w:sz w:val="20"/>
          <w:szCs w:val="20"/>
        </w:rPr>
        <w:fldChar w:fldCharType="end"/>
      </w:r>
      <w:bookmarkEnd w:id="19"/>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8" name="Picture 8"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Limitation of Liability Act of 1851, </w:t>
      </w:r>
      <w:bookmarkStart w:id="20" w:name="r20"/>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"n20"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20</w:t>
      </w:r>
      <w:r w:rsidRPr="00500923">
        <w:rPr>
          <w:rFonts w:ascii="Verdana" w:eastAsia="Times New Roman" w:hAnsi="Verdana" w:cs="Times New Roman"/>
          <w:sz w:val="20"/>
          <w:szCs w:val="20"/>
        </w:rPr>
        <w:fldChar w:fldCharType="end"/>
      </w:r>
      <w:bookmarkEnd w:id="20"/>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9" name="Picture 9"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declaratory judgment actions regarding indemnification provisions in contracts between BP and Transocean; </w:t>
      </w:r>
      <w:bookmarkStart w:id="21" w:name="r21"/>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"n21"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21</w:t>
      </w:r>
      <w:r w:rsidRPr="00500923">
        <w:rPr>
          <w:rFonts w:ascii="Verdana" w:eastAsia="Times New Roman" w:hAnsi="Verdana" w:cs="Times New Roman"/>
          <w:sz w:val="20"/>
          <w:szCs w:val="20"/>
        </w:rPr>
        <w:fldChar w:fldCharType="end"/>
      </w:r>
      <w:bookmarkEnd w:id="21"/>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10" name="Picture 10"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Oil Pollution Act of 1990 (33 U.S.C. § 2701 </w:t>
      </w:r>
      <w:r w:rsidRPr="00500923">
        <w:rPr>
          <w:rFonts w:ascii="Verdana" w:eastAsia="Times New Roman" w:hAnsi="Verdana" w:cs="Times New Roman"/>
          <w:i/>
          <w:iCs/>
          <w:sz w:val="20"/>
          <w:szCs w:val="20"/>
        </w:rPr>
        <w:t>et seq.</w:t>
      </w:r>
      <w:r w:rsidRPr="00500923">
        <w:rPr>
          <w:rFonts w:ascii="Verdana" w:eastAsia="Times New Roman" w:hAnsi="Verdana" w:cs="Times New Roman"/>
          <w:sz w:val="20"/>
          <w:szCs w:val="20"/>
        </w:rPr>
        <w:t>) ("OPA")</w:t>
      </w:r>
      <w:proofErr w:type="gramStart"/>
      <w:r w:rsidRPr="00500923">
        <w:rPr>
          <w:rFonts w:ascii="Verdana" w:eastAsia="Times New Roman" w:hAnsi="Verdana" w:cs="Times New Roman"/>
          <w:sz w:val="20"/>
          <w:szCs w:val="20"/>
        </w:rPr>
        <w:t>;</w:t>
      </w:r>
      <w:proofErr w:type="gramEnd"/>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11" name="Picture 11"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ERISA; </w:t>
      </w:r>
      <w:bookmarkStart w:id="22" w:name="r22"/>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"n22"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22</w:t>
      </w:r>
      <w:r w:rsidRPr="00500923">
        <w:rPr>
          <w:rFonts w:ascii="Verdana" w:eastAsia="Times New Roman" w:hAnsi="Verdana" w:cs="Times New Roman"/>
          <w:sz w:val="20"/>
          <w:szCs w:val="20"/>
        </w:rPr>
        <w:fldChar w:fldCharType="end"/>
      </w:r>
      <w:bookmarkEnd w:id="22"/>
      <w:r w:rsidRPr="00500923">
        <w:rPr>
          <w:rFonts w:ascii="Verdana" w:eastAsia="Times New Roman" w:hAnsi="Verdana" w:cs="Times New Roman"/>
          <w:sz w:val="20"/>
          <w:szCs w:val="20"/>
        </w:rPr>
        <w:t xml:space="preserve"> and</w:t>
      </w:r>
      <w:r w:rsidRPr="00500923">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80645" cy="70485"/>
            <wp:effectExtent l="19050" t="0" r="0" b="0"/>
            <wp:docPr id="12" name="Picture 12"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 xml:space="preserve">the Outer Continental Shelf Lands Act ("OCSLA") (43 U.S.C. § 1340 and 30 C.F.R. 250.203). </w:t>
      </w:r>
      <w:bookmarkStart w:id="23" w:name="r23"/>
      <w:r w:rsidRPr="00500923">
        <w:rPr>
          <w:rFonts w:ascii="Verdana" w:eastAsia="Times New Roman" w:hAnsi="Verdana" w:cs="Times New Roman"/>
          <w:sz w:val="20"/>
          <w:szCs w:val="20"/>
        </w:rPr>
        <w:fldChar w:fldCharType="begin"/>
      </w:r>
      <w:r w:rsidRPr="00500923">
        <w:rPr>
          <w:rFonts w:ascii="Verdana" w:eastAsia="Times New Roman" w:hAnsi="Verdana" w:cs="Times New Roman"/>
          <w:sz w:val="20"/>
          <w:szCs w:val="20"/>
        </w:rPr>
        <w:instrText xml:space="preserve"> HYPERLINK "https://www.lexis.com/research/retrieve?_m=dd6457b5215e1b48510daf5a8898f9e9&amp;_browseType=TEXTONLY&amp;docnum=1&amp;_fmtstr=FULL&amp;_startdoc=1&amp;wchp=dGLzVlb-zSkAl&amp;_md5=f075cd1349b79a979be0e40ee000f4e1" \l "n23" \t "_self" </w:instrText>
      </w:r>
      <w:r w:rsidRPr="00500923">
        <w:rPr>
          <w:rFonts w:ascii="Verdana" w:eastAsia="Times New Roman" w:hAnsi="Verdana" w:cs="Times New Roman"/>
          <w:sz w:val="20"/>
          <w:szCs w:val="20"/>
        </w:rPr>
        <w:fldChar w:fldCharType="separate"/>
      </w:r>
      <w:r w:rsidRPr="00500923">
        <w:rPr>
          <w:rFonts w:ascii="Verdana" w:eastAsia="Times New Roman" w:hAnsi="Verdana" w:cs="Times New Roman"/>
          <w:b/>
          <w:bCs/>
          <w:color w:val="0000FF"/>
          <w:sz w:val="14"/>
          <w:vertAlign w:val="superscript"/>
        </w:rPr>
        <w:t>23</w:t>
      </w:r>
      <w:r w:rsidRPr="00500923">
        <w:rPr>
          <w:rFonts w:ascii="Verdana" w:eastAsia="Times New Roman" w:hAnsi="Verdana" w:cs="Times New Roman"/>
          <w:sz w:val="20"/>
          <w:szCs w:val="20"/>
        </w:rPr>
        <w:fldChar w:fldCharType="end"/>
      </w:r>
      <w:bookmarkEnd w:id="23"/>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Legislative Proposals</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Numerous congressional hearings on the Gulf Oil Spill have already taken place, with various legislative proposals now under consideration, such as the </w:t>
      </w:r>
      <w:r w:rsidRPr="00500923">
        <w:rPr>
          <w:rFonts w:ascii="Verdana" w:eastAsia="Times New Roman" w:hAnsi="Verdana" w:cs="Times New Roman"/>
          <w:b/>
          <w:bCs/>
          <w:sz w:val="20"/>
          <w:szCs w:val="20"/>
        </w:rPr>
        <w:t>Outer Continental Shelf Reform Act of 2010</w:t>
      </w:r>
      <w:r w:rsidRPr="00500923">
        <w:rPr>
          <w:rFonts w:ascii="Verdana" w:eastAsia="Times New Roman" w:hAnsi="Verdana" w:cs="Times New Roman"/>
          <w:sz w:val="20"/>
          <w:szCs w:val="20"/>
        </w:rPr>
        <w:t xml:space="preserve"> (S. 3516), which seeks to revamp OCSLA and broaden the DOI's role in ensuring environmental and safety standards are met before oil companies receive offshore drilling leases and permits; the Blowout Prevention Act of 2010 (H.R. 5626), which would expand regulation of all "high-risk" offshore and onshore wells, allow citizen lawsuits against oil producers, and prohibit drilling without blowout preventers; the </w:t>
      </w:r>
      <w:r w:rsidRPr="00500923">
        <w:rPr>
          <w:rFonts w:ascii="Verdana" w:eastAsia="Times New Roman" w:hAnsi="Verdana" w:cs="Times New Roman"/>
          <w:b/>
          <w:bCs/>
          <w:sz w:val="20"/>
          <w:szCs w:val="20"/>
        </w:rPr>
        <w:t>Consolidated Land, Energy and Aquatic Resources (CLEAR) Act</w:t>
      </w:r>
      <w:r w:rsidRPr="00500923">
        <w:rPr>
          <w:rFonts w:ascii="Verdana" w:eastAsia="Times New Roman" w:hAnsi="Verdana" w:cs="Times New Roman"/>
          <w:sz w:val="20"/>
          <w:szCs w:val="20"/>
        </w:rPr>
        <w:t xml:space="preserve"> (H.R. 3534), which would prohibit oil companies with poor safety records from getting new offshore drilling leases, deny permits and leases for federal law violations such as worker deaths, implement large fines, and introduce specific guidelines for the use of oil and gas royalties; the </w:t>
      </w:r>
      <w:r w:rsidRPr="00500923">
        <w:rPr>
          <w:rFonts w:ascii="Verdana" w:eastAsia="Times New Roman" w:hAnsi="Verdana" w:cs="Times New Roman"/>
          <w:b/>
          <w:bCs/>
          <w:sz w:val="20"/>
          <w:szCs w:val="20"/>
        </w:rPr>
        <w:t>Big Oil Bailout Prevention Liability Act</w:t>
      </w:r>
      <w:r w:rsidRPr="00500923">
        <w:rPr>
          <w:rFonts w:ascii="Verdana" w:eastAsia="Times New Roman" w:hAnsi="Verdana" w:cs="Times New Roman"/>
          <w:sz w:val="20"/>
          <w:szCs w:val="20"/>
        </w:rPr>
        <w:t xml:space="preserve"> (S. 3305), which would remove the liability cap for offshore drilling, making oil companies responsible for all cleanup costs and damages, and require detailed oil spill response plans and predictions of worst-case scenario impacts from oil companies; the </w:t>
      </w:r>
      <w:r w:rsidRPr="00500923">
        <w:rPr>
          <w:rFonts w:ascii="Verdana" w:eastAsia="Times New Roman" w:hAnsi="Verdana" w:cs="Times New Roman"/>
          <w:b/>
          <w:bCs/>
          <w:sz w:val="20"/>
          <w:szCs w:val="20"/>
        </w:rPr>
        <w:t>Oil Spill Accountability and Environmental Protection Act of 2010</w:t>
      </w:r>
      <w:r w:rsidRPr="00500923">
        <w:rPr>
          <w:rFonts w:ascii="Verdana" w:eastAsia="Times New Roman" w:hAnsi="Verdana" w:cs="Times New Roman"/>
          <w:sz w:val="20"/>
          <w:szCs w:val="20"/>
        </w:rPr>
        <w:t xml:space="preserve"> (H.R. 5629), which would remove the financial liability cap for oil companies and require all oil rigs operated within 200 miles off the U.S. coast to be owned by American citizens; the </w:t>
      </w:r>
      <w:r w:rsidRPr="00500923">
        <w:rPr>
          <w:rFonts w:ascii="Verdana" w:eastAsia="Times New Roman" w:hAnsi="Verdana" w:cs="Times New Roman"/>
          <w:b/>
          <w:bCs/>
          <w:sz w:val="20"/>
          <w:szCs w:val="20"/>
        </w:rPr>
        <w:t>Department of Interior Research and Technologies for Oil Spill Prevention and Response Act</w:t>
      </w:r>
      <w:r w:rsidRPr="00500923">
        <w:rPr>
          <w:rFonts w:ascii="Verdana" w:eastAsia="Times New Roman" w:hAnsi="Verdana" w:cs="Times New Roman"/>
          <w:sz w:val="20"/>
          <w:szCs w:val="20"/>
        </w:rPr>
        <w:t xml:space="preserve"> (S. 3515), which would require the DOI to carry out in-depth research on oil spill prevention and response technology, direct the EPA to conduct a pilot program with demonstration in deep water, and provide the program with $25 million from a trust fund; and a </w:t>
      </w:r>
      <w:r w:rsidRPr="00500923">
        <w:rPr>
          <w:rFonts w:ascii="Verdana" w:eastAsia="Times New Roman" w:hAnsi="Verdana" w:cs="Times New Roman"/>
          <w:b/>
          <w:bCs/>
          <w:sz w:val="20"/>
          <w:szCs w:val="20"/>
        </w:rPr>
        <w:t>bill "[t]o give subpoena power to the National Commission on the BP Deepwater Horizon Oil Spill and Offshore Drilling"</w:t>
      </w:r>
      <w:r w:rsidRPr="00500923">
        <w:rPr>
          <w:rFonts w:ascii="Verdana" w:eastAsia="Times New Roman" w:hAnsi="Verdana" w:cs="Times New Roman"/>
          <w:sz w:val="20"/>
          <w:szCs w:val="20"/>
        </w:rPr>
        <w:t xml:space="preserve"> (H.R. 5481), which would authorize President Obama's oil spill investigation commission to subpoena witnesses and records with approval from the U.S. Attorney General and would allow the Attorney General to prosecute those disobeying subpoenas.</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proposed legislation discussed above seeks to tighten safety standards in the offshore drilling industry, requiring proof that drillers are in compliance with the regulations and are able to effectively respond to another rig explosion and oil spill.</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Conclusion</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Gulf oil spill will cause significant changes in the offshore drilling industry, in terms of the industry's understanding of its potential liability for accidents, regulatory non-compliance, and negligence and willful misconduct. Moreover, the spill will result in major changes in the regulations that apply to offshore drilling. The merits of the legislative proposals outlined above are certain to be vigorously debated. This is the time for the energy industry to actively engage in the rulemaking process in order to promote responsible regulations that are effective, yet allow the industry to achieve healthy growth while responsibly meeting energy needs in the future.</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Return to Text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4" w:name="n1"/>
      <w:r>
        <w:rPr>
          <w:rFonts w:ascii="Verdana" w:eastAsia="Times New Roman" w:hAnsi="Verdana" w:cs="Times New Roman"/>
          <w:b/>
          <w:bCs/>
          <w:noProof/>
          <w:color w:val="0000FF"/>
          <w:sz w:val="14"/>
          <w:szCs w:val="14"/>
        </w:rPr>
        <w:drawing>
          <wp:inline distT="0" distB="0" distL="0" distR="0">
            <wp:extent cx="100330" cy="110490"/>
            <wp:effectExtent l="19050" t="0" r="0" b="0"/>
            <wp:docPr id="13" name="Picture 13" descr="Click here to return to the footnote reference.">
              <a:hlinkClick xmlns:a="http://schemas.openxmlformats.org/drawingml/2006/main" r:id="rId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here to return to the footnote reference.">
                      <a:hlinkClick r:id="rId5"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4"/>
      <w:r w:rsidRPr="00500923">
        <w:rPr>
          <w:rFonts w:ascii="Verdana" w:eastAsia="Times New Roman" w:hAnsi="Verdana" w:cs="Times New Roman"/>
          <w:sz w:val="20"/>
          <w:szCs w:val="20"/>
        </w:rPr>
        <w:t xml:space="preserve">n1 </w:t>
      </w:r>
      <w:r w:rsidRPr="00500923">
        <w:rPr>
          <w:rFonts w:ascii="Verdana" w:eastAsia="Times New Roman" w:hAnsi="Verdana" w:cs="Times New Roman"/>
          <w:i/>
          <w:iCs/>
          <w:sz w:val="20"/>
          <w:szCs w:val="20"/>
        </w:rPr>
        <w:t xml:space="preserve">See </w:t>
      </w:r>
      <w:hyperlink r:id="rId7" w:tgtFrame="_blank" w:history="1">
        <w:r w:rsidRPr="00500923">
          <w:rPr>
            <w:rFonts w:ascii="Verdana" w:eastAsia="Times New Roman" w:hAnsi="Verdana" w:cs="Times New Roman"/>
            <w:color w:val="0000FF"/>
            <w:sz w:val="20"/>
            <w:u w:val="single"/>
          </w:rPr>
          <w:t>http://latimesblogs.latimes.com/greenspace/2010/04/gulf-oil-spill-the-halliburton-connection.html</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5" w:name="n2"/>
      <w:r>
        <w:rPr>
          <w:rFonts w:ascii="Verdana" w:eastAsia="Times New Roman" w:hAnsi="Verdana" w:cs="Times New Roman"/>
          <w:b/>
          <w:bCs/>
          <w:noProof/>
          <w:color w:val="0000FF"/>
          <w:sz w:val="14"/>
          <w:szCs w:val="14"/>
        </w:rPr>
        <w:drawing>
          <wp:inline distT="0" distB="0" distL="0" distR="0">
            <wp:extent cx="100330" cy="110490"/>
            <wp:effectExtent l="19050" t="0" r="0" b="0"/>
            <wp:docPr id="14" name="Picture 14" descr="Click here to return to the footnote reference.">
              <a:hlinkClick xmlns:a="http://schemas.openxmlformats.org/drawingml/2006/main" r:id="rId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ck here to return to the footnote reference.">
                      <a:hlinkClick r:id="rId8"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5"/>
      <w:proofErr w:type="gramStart"/>
      <w:r w:rsidRPr="00500923">
        <w:rPr>
          <w:rFonts w:ascii="Verdana" w:eastAsia="Times New Roman" w:hAnsi="Verdana" w:cs="Times New Roman"/>
          <w:sz w:val="20"/>
          <w:szCs w:val="20"/>
        </w:rPr>
        <w:t>n2</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9" w:tgtFrame="_blank" w:history="1">
        <w:r w:rsidRPr="00500923">
          <w:rPr>
            <w:rFonts w:ascii="Verdana" w:eastAsia="Times New Roman" w:hAnsi="Verdana" w:cs="Times New Roman"/>
            <w:color w:val="0000FF"/>
            <w:sz w:val="20"/>
            <w:u w:val="single"/>
          </w:rPr>
          <w:t>http://www.goerie.com/apps/pbcs.dll/article?AID=/20100512/NEWS07/305129953/-1/RSS</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6" w:name="n3"/>
      <w:r>
        <w:rPr>
          <w:rFonts w:ascii="Verdana" w:eastAsia="Times New Roman" w:hAnsi="Verdana" w:cs="Times New Roman"/>
          <w:b/>
          <w:bCs/>
          <w:noProof/>
          <w:color w:val="0000FF"/>
          <w:sz w:val="14"/>
          <w:szCs w:val="14"/>
        </w:rPr>
        <w:drawing>
          <wp:inline distT="0" distB="0" distL="0" distR="0">
            <wp:extent cx="100330" cy="110490"/>
            <wp:effectExtent l="19050" t="0" r="0" b="0"/>
            <wp:docPr id="15" name="Picture 15" descr="Click here to return to the footnote reference.">
              <a:hlinkClick xmlns:a="http://schemas.openxmlformats.org/drawingml/2006/main" r:id="rId1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here to return to the footnote reference.">
                      <a:hlinkClick r:id="rId10"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6"/>
      <w:proofErr w:type="gramStart"/>
      <w:r w:rsidRPr="00500923">
        <w:rPr>
          <w:rFonts w:ascii="Verdana" w:eastAsia="Times New Roman" w:hAnsi="Verdana" w:cs="Times New Roman"/>
          <w:sz w:val="20"/>
          <w:szCs w:val="20"/>
        </w:rPr>
        <w:t>n3</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11" w:tgtFrame="_blank" w:history="1">
        <w:r w:rsidRPr="00500923">
          <w:rPr>
            <w:rFonts w:ascii="Verdana" w:eastAsia="Times New Roman" w:hAnsi="Verdana" w:cs="Times New Roman"/>
            <w:color w:val="0000FF"/>
            <w:sz w:val="20"/>
            <w:u w:val="single"/>
          </w:rPr>
          <w:t>http://www.cnn.com/2010/US/08/03/gulf.oil.largest.spill/index.html</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7" w:name="n4"/>
      <w:r>
        <w:rPr>
          <w:rFonts w:ascii="Verdana" w:eastAsia="Times New Roman" w:hAnsi="Verdana" w:cs="Times New Roman"/>
          <w:b/>
          <w:bCs/>
          <w:noProof/>
          <w:color w:val="0000FF"/>
          <w:sz w:val="14"/>
          <w:szCs w:val="14"/>
        </w:rPr>
        <w:drawing>
          <wp:inline distT="0" distB="0" distL="0" distR="0">
            <wp:extent cx="100330" cy="110490"/>
            <wp:effectExtent l="19050" t="0" r="0" b="0"/>
            <wp:docPr id="16" name="Picture 16" descr="Click here to return to the footnote reference.">
              <a:hlinkClick xmlns:a="http://schemas.openxmlformats.org/drawingml/2006/main" r:id="rId12"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ck here to return to the footnote reference.">
                      <a:hlinkClick r:id="rId12"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7"/>
      <w:proofErr w:type="gramStart"/>
      <w:r w:rsidRPr="00500923">
        <w:rPr>
          <w:rFonts w:ascii="Verdana" w:eastAsia="Times New Roman" w:hAnsi="Verdana" w:cs="Times New Roman"/>
          <w:sz w:val="20"/>
          <w:szCs w:val="20"/>
        </w:rPr>
        <w:t>n4</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13" w:tgtFrame="_blank" w:history="1">
        <w:r w:rsidRPr="00500923">
          <w:rPr>
            <w:rFonts w:ascii="Verdana" w:eastAsia="Times New Roman" w:hAnsi="Verdana" w:cs="Times New Roman"/>
            <w:color w:val="0000FF"/>
            <w:sz w:val="20"/>
            <w:u w:val="single"/>
          </w:rPr>
          <w:t>http://www.upi.com/Top_News/US/2010/07/16/Oil-rig-news-good-news-on-London-markets/UPI-43731279279054</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8" w:name="n5"/>
      <w:r>
        <w:rPr>
          <w:rFonts w:ascii="Verdana" w:eastAsia="Times New Roman" w:hAnsi="Verdana" w:cs="Times New Roman"/>
          <w:b/>
          <w:bCs/>
          <w:noProof/>
          <w:color w:val="0000FF"/>
          <w:sz w:val="14"/>
          <w:szCs w:val="14"/>
        </w:rPr>
        <w:drawing>
          <wp:inline distT="0" distB="0" distL="0" distR="0">
            <wp:extent cx="100330" cy="110490"/>
            <wp:effectExtent l="19050" t="0" r="0" b="0"/>
            <wp:docPr id="17" name="Picture 17" descr="Click here to return to the footnote reference.">
              <a:hlinkClick xmlns:a="http://schemas.openxmlformats.org/drawingml/2006/main" r:id="rId1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here to return to the footnote reference.">
                      <a:hlinkClick r:id="rId14"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8"/>
      <w:proofErr w:type="gramStart"/>
      <w:r w:rsidRPr="00500923">
        <w:rPr>
          <w:rFonts w:ascii="Verdana" w:eastAsia="Times New Roman" w:hAnsi="Verdana" w:cs="Times New Roman"/>
          <w:sz w:val="20"/>
          <w:szCs w:val="20"/>
        </w:rPr>
        <w:t>n5</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15" w:tgtFrame="_blank" w:history="1">
        <w:r w:rsidRPr="00500923">
          <w:rPr>
            <w:rFonts w:ascii="Verdana" w:eastAsia="Times New Roman" w:hAnsi="Verdana" w:cs="Times New Roman"/>
            <w:color w:val="0000FF"/>
            <w:sz w:val="20"/>
            <w:u w:val="single"/>
          </w:rPr>
          <w:t>http://news.yahoo.com/s/nm/20100802/us_nm/us_oil_spill</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29" w:name="n6"/>
      <w:r>
        <w:rPr>
          <w:rFonts w:ascii="Verdana" w:eastAsia="Times New Roman" w:hAnsi="Verdana" w:cs="Times New Roman"/>
          <w:b/>
          <w:bCs/>
          <w:noProof/>
          <w:color w:val="0000FF"/>
          <w:sz w:val="14"/>
          <w:szCs w:val="14"/>
        </w:rPr>
        <w:drawing>
          <wp:inline distT="0" distB="0" distL="0" distR="0">
            <wp:extent cx="100330" cy="110490"/>
            <wp:effectExtent l="19050" t="0" r="0" b="0"/>
            <wp:docPr id="18" name="Picture 18" descr="Click here to return to the footnote reference.">
              <a:hlinkClick xmlns:a="http://schemas.openxmlformats.org/drawingml/2006/main" r:id="rId1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ck here to return to the footnote reference.">
                      <a:hlinkClick r:id="rId16"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29"/>
      <w:proofErr w:type="gramStart"/>
      <w:r w:rsidRPr="00500923">
        <w:rPr>
          <w:rFonts w:ascii="Verdana" w:eastAsia="Times New Roman" w:hAnsi="Verdana" w:cs="Times New Roman"/>
          <w:sz w:val="20"/>
          <w:szCs w:val="20"/>
        </w:rPr>
        <w:t>n6</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17" w:tgtFrame="_blank" w:history="1">
        <w:r w:rsidRPr="00500923">
          <w:rPr>
            <w:rFonts w:ascii="Verdana" w:eastAsia="Times New Roman" w:hAnsi="Verdana" w:cs="Times New Roman"/>
            <w:color w:val="0000FF"/>
            <w:sz w:val="20"/>
            <w:u w:val="single"/>
          </w:rPr>
          <w:t>http://www.csmonitor.com/USA/2010/0515/Gulf-spill-oil-driven-by-complex-ocean-currents-and-eddies</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0" w:name="n7"/>
      <w:r>
        <w:rPr>
          <w:rFonts w:ascii="Verdana" w:eastAsia="Times New Roman" w:hAnsi="Verdana" w:cs="Times New Roman"/>
          <w:b/>
          <w:bCs/>
          <w:noProof/>
          <w:color w:val="0000FF"/>
          <w:sz w:val="14"/>
          <w:szCs w:val="14"/>
        </w:rPr>
        <w:drawing>
          <wp:inline distT="0" distB="0" distL="0" distR="0">
            <wp:extent cx="100330" cy="110490"/>
            <wp:effectExtent l="19050" t="0" r="0" b="0"/>
            <wp:docPr id="19" name="Picture 19" descr="Click here to return to the footnote reference.">
              <a:hlinkClick xmlns:a="http://schemas.openxmlformats.org/drawingml/2006/main" r:id="rId1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ck here to return to the footnote reference.">
                      <a:hlinkClick r:id="rId18"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0"/>
      <w:proofErr w:type="gramStart"/>
      <w:r w:rsidRPr="00500923">
        <w:rPr>
          <w:rFonts w:ascii="Verdana" w:eastAsia="Times New Roman" w:hAnsi="Verdana" w:cs="Times New Roman"/>
          <w:sz w:val="20"/>
          <w:szCs w:val="20"/>
        </w:rPr>
        <w:t>n7</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19" w:tgtFrame="_blank" w:history="1">
        <w:r w:rsidRPr="00500923">
          <w:rPr>
            <w:rFonts w:ascii="Verdana" w:eastAsia="Times New Roman" w:hAnsi="Verdana" w:cs="Times New Roman"/>
            <w:color w:val="0000FF"/>
            <w:sz w:val="20"/>
            <w:u w:val="single"/>
          </w:rPr>
          <w:t>http://www.dailypress.com/news/national/sns-bp-oil-plumes,0,5537415.story</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1" w:name="n8"/>
      <w:r>
        <w:rPr>
          <w:rFonts w:ascii="Verdana" w:eastAsia="Times New Roman" w:hAnsi="Verdana" w:cs="Times New Roman"/>
          <w:b/>
          <w:bCs/>
          <w:noProof/>
          <w:color w:val="0000FF"/>
          <w:sz w:val="14"/>
          <w:szCs w:val="14"/>
        </w:rPr>
        <w:drawing>
          <wp:inline distT="0" distB="0" distL="0" distR="0">
            <wp:extent cx="100330" cy="110490"/>
            <wp:effectExtent l="19050" t="0" r="0" b="0"/>
            <wp:docPr id="20" name="Picture 20" descr="Click here to return to the footnote reference.">
              <a:hlinkClick xmlns:a="http://schemas.openxmlformats.org/drawingml/2006/main" r:id="rId2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ck here to return to the footnote reference.">
                      <a:hlinkClick r:id="rId20"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1"/>
      <w:proofErr w:type="gramStart"/>
      <w:r w:rsidRPr="00500923">
        <w:rPr>
          <w:rFonts w:ascii="Verdana" w:eastAsia="Times New Roman" w:hAnsi="Verdana" w:cs="Times New Roman"/>
          <w:sz w:val="20"/>
          <w:szCs w:val="20"/>
        </w:rPr>
        <w:t>n8</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21" w:tgtFrame="_blank" w:history="1">
        <w:r w:rsidRPr="00500923">
          <w:rPr>
            <w:rFonts w:ascii="Verdana" w:eastAsia="Times New Roman" w:hAnsi="Verdana" w:cs="Times New Roman"/>
            <w:color w:val="0000FF"/>
            <w:sz w:val="20"/>
            <w:u w:val="single"/>
          </w:rPr>
          <w:t>http://money.cnn.com/2010/07/19/smallbusiness/bp_mobile_claim_centers/index.htm</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2" w:name="n9"/>
      <w:r>
        <w:rPr>
          <w:rFonts w:ascii="Verdana" w:eastAsia="Times New Roman" w:hAnsi="Verdana" w:cs="Times New Roman"/>
          <w:b/>
          <w:bCs/>
          <w:noProof/>
          <w:color w:val="0000FF"/>
          <w:sz w:val="14"/>
          <w:szCs w:val="14"/>
        </w:rPr>
        <w:drawing>
          <wp:inline distT="0" distB="0" distL="0" distR="0">
            <wp:extent cx="100330" cy="110490"/>
            <wp:effectExtent l="19050" t="0" r="0" b="0"/>
            <wp:docPr id="21" name="Picture 21" descr="Click here to return to the footnote reference.">
              <a:hlinkClick xmlns:a="http://schemas.openxmlformats.org/drawingml/2006/main" r:id="rId22"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here to return to the footnote reference.">
                      <a:hlinkClick r:id="rId22"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2"/>
      <w:proofErr w:type="gramStart"/>
      <w:r w:rsidRPr="00500923">
        <w:rPr>
          <w:rFonts w:ascii="Verdana" w:eastAsia="Times New Roman" w:hAnsi="Verdana" w:cs="Times New Roman"/>
          <w:sz w:val="20"/>
          <w:szCs w:val="20"/>
        </w:rPr>
        <w:t>n9</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23" w:tgtFrame="_blank" w:history="1">
        <w:r w:rsidRPr="00500923">
          <w:rPr>
            <w:rFonts w:ascii="Verdana" w:eastAsia="Times New Roman" w:hAnsi="Verdana" w:cs="Times New Roman"/>
            <w:color w:val="0000FF"/>
            <w:sz w:val="20"/>
            <w:u w:val="single"/>
          </w:rPr>
          <w:t>http://uk.reuters.com/article/idUKTRE66I0W720100719</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3" w:name="n10"/>
      <w:r>
        <w:rPr>
          <w:rFonts w:ascii="Verdana" w:eastAsia="Times New Roman" w:hAnsi="Verdana" w:cs="Times New Roman"/>
          <w:b/>
          <w:bCs/>
          <w:noProof/>
          <w:color w:val="0000FF"/>
          <w:sz w:val="14"/>
          <w:szCs w:val="14"/>
        </w:rPr>
        <w:drawing>
          <wp:inline distT="0" distB="0" distL="0" distR="0">
            <wp:extent cx="100330" cy="110490"/>
            <wp:effectExtent l="19050" t="0" r="0" b="0"/>
            <wp:docPr id="22" name="Picture 22" descr="Click here to return to the footnote reference.">
              <a:hlinkClick xmlns:a="http://schemas.openxmlformats.org/drawingml/2006/main" r:id="rId2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ick here to return to the footnote reference.">
                      <a:hlinkClick r:id="rId24"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3"/>
      <w:proofErr w:type="gramStart"/>
      <w:r w:rsidRPr="00500923">
        <w:rPr>
          <w:rFonts w:ascii="Verdana" w:eastAsia="Times New Roman" w:hAnsi="Verdana" w:cs="Times New Roman"/>
          <w:sz w:val="20"/>
          <w:szCs w:val="20"/>
        </w:rPr>
        <w:t>n10</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25" w:tgtFrame="_blank" w:history="1">
        <w:r w:rsidRPr="00500923">
          <w:rPr>
            <w:rFonts w:ascii="Verdana" w:eastAsia="Times New Roman" w:hAnsi="Verdana" w:cs="Times New Roman"/>
            <w:color w:val="0000FF"/>
            <w:sz w:val="20"/>
            <w:u w:val="single"/>
          </w:rPr>
          <w:t>http://houston.bizjournals.com/houston/stories/2010/04/26/daily6.html</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4" w:name="n11"/>
      <w:r>
        <w:rPr>
          <w:rFonts w:ascii="Verdana" w:eastAsia="Times New Roman" w:hAnsi="Verdana" w:cs="Times New Roman"/>
          <w:b/>
          <w:bCs/>
          <w:noProof/>
          <w:color w:val="0000FF"/>
          <w:sz w:val="14"/>
          <w:szCs w:val="14"/>
        </w:rPr>
        <w:drawing>
          <wp:inline distT="0" distB="0" distL="0" distR="0">
            <wp:extent cx="100330" cy="110490"/>
            <wp:effectExtent l="19050" t="0" r="0" b="0"/>
            <wp:docPr id="23" name="Picture 23" descr="Click here to return to the footnote reference.">
              <a:hlinkClick xmlns:a="http://schemas.openxmlformats.org/drawingml/2006/main" r:id="rId2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here to return to the footnote reference.">
                      <a:hlinkClick r:id="rId26"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4"/>
      <w:proofErr w:type="gramStart"/>
      <w:r w:rsidRPr="00500923">
        <w:rPr>
          <w:rFonts w:ascii="Verdana" w:eastAsia="Times New Roman" w:hAnsi="Verdana" w:cs="Times New Roman"/>
          <w:sz w:val="20"/>
          <w:szCs w:val="20"/>
        </w:rPr>
        <w:t>n11</w:t>
      </w:r>
      <w:proofErr w:type="gramEnd"/>
      <w:r w:rsidRPr="00500923">
        <w:rPr>
          <w:rFonts w:ascii="Verdana" w:eastAsia="Times New Roman" w:hAnsi="Verdana" w:cs="Times New Roman"/>
          <w:sz w:val="20"/>
          <w:szCs w:val="20"/>
        </w:rPr>
        <w:t xml:space="preserve"> Center For Biological Diversity, Inc. v. BP America, Inc.; BP Exploration &amp; Production, Inc.; BP, PLC; Transocean Ltd.; Transocean, Inc.; and Transocean Offshore USA, Inc. , U.S. District Court, E.D. Louisiana, No. 10-CV01768.</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Defenders of Wildlife v. MMS, No. 10-254 (S.D. Ala.); Center for Biological Diversity v. Salazar, Case No. 1:10-cv-00816-HHK (D.D.C. 2010); Center for Biological Diversity v. Salazar, Case No. 10-60417 (5th Cir. 2010). In addition, Sierra Club has challenged MMS's failure to comply with NEPA in approving five deepwater exploration plans in reliance on an overbroad categorical exclusion (Gulf Restoration Network, Inc. and Sierra Club, Inc. v. Ken Salazar, Secretary of the Department of Interior; Wilma Lewis, Assistant Secretary, Land and Minerals Management, Department of the Interior; S. Elizabeth </w:t>
      </w:r>
      <w:proofErr w:type="spellStart"/>
      <w:r w:rsidRPr="00500923">
        <w:rPr>
          <w:rFonts w:ascii="Verdana" w:eastAsia="Times New Roman" w:hAnsi="Verdana" w:cs="Times New Roman"/>
          <w:sz w:val="20"/>
          <w:szCs w:val="20"/>
        </w:rPr>
        <w:t>Birnbaum</w:t>
      </w:r>
      <w:proofErr w:type="spellEnd"/>
      <w:r w:rsidRPr="00500923">
        <w:rPr>
          <w:rFonts w:ascii="Verdana" w:eastAsia="Times New Roman" w:hAnsi="Verdana" w:cs="Times New Roman"/>
          <w:sz w:val="20"/>
          <w:szCs w:val="20"/>
        </w:rPr>
        <w:t xml:space="preserve">, Director Minerals Management Service, Department of the Interior, U.S. District Court, E.D. Louisiana, Case No. 10CV01497), and CBD has similarly challenged MMS's NEPA violations with respect to 39 exploration and development plans in the Gulf. </w:t>
      </w:r>
      <w:proofErr w:type="gramStart"/>
      <w:r w:rsidRPr="00500923">
        <w:rPr>
          <w:rFonts w:ascii="Verdana" w:eastAsia="Times New Roman" w:hAnsi="Verdana" w:cs="Times New Roman"/>
          <w:sz w:val="20"/>
          <w:szCs w:val="20"/>
        </w:rPr>
        <w:t>Center for Biological Diversity v. Salazar, Case No. 10-60417 (5th Cir. 2010).</w:t>
      </w:r>
      <w:proofErr w:type="gramEnd"/>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5" w:name="n12"/>
      <w:r>
        <w:rPr>
          <w:rFonts w:ascii="Verdana" w:eastAsia="Times New Roman" w:hAnsi="Verdana" w:cs="Times New Roman"/>
          <w:b/>
          <w:bCs/>
          <w:noProof/>
          <w:color w:val="0000FF"/>
          <w:sz w:val="14"/>
          <w:szCs w:val="14"/>
        </w:rPr>
        <w:drawing>
          <wp:inline distT="0" distB="0" distL="0" distR="0">
            <wp:extent cx="100330" cy="110490"/>
            <wp:effectExtent l="19050" t="0" r="0" b="0"/>
            <wp:docPr id="24" name="Picture 24" descr="Click here to return to the footnote reference.">
              <a:hlinkClick xmlns:a="http://schemas.openxmlformats.org/drawingml/2006/main" r:id="rId2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ck here to return to the footnote reference.">
                      <a:hlinkClick r:id="rId27"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5"/>
      <w:r w:rsidRPr="00500923">
        <w:rPr>
          <w:rFonts w:ascii="Verdana" w:eastAsia="Times New Roman" w:hAnsi="Verdana" w:cs="Times New Roman"/>
          <w:sz w:val="20"/>
          <w:szCs w:val="20"/>
        </w:rPr>
        <w:t xml:space="preserve">n12 Hornbeck Offshore Services, LLC, </w:t>
      </w:r>
      <w:r w:rsidRPr="00500923">
        <w:rPr>
          <w:rFonts w:ascii="Verdana" w:eastAsia="Times New Roman" w:hAnsi="Verdana" w:cs="Times New Roman"/>
          <w:i/>
          <w:iCs/>
          <w:sz w:val="20"/>
          <w:szCs w:val="20"/>
        </w:rPr>
        <w:t>et al.</w:t>
      </w:r>
      <w:r w:rsidRPr="00500923">
        <w:rPr>
          <w:rFonts w:ascii="Verdana" w:eastAsia="Times New Roman" w:hAnsi="Verdana" w:cs="Times New Roman"/>
          <w:sz w:val="20"/>
          <w:szCs w:val="20"/>
        </w:rPr>
        <w:t xml:space="preserve"> v. Kenneth Lee "Ken" Salazar, in his official capacity as Secretary, United States Department of the Interior; United States Department of the Interior; Michael R. Bromwich, in his official capacity as Director, Bureau of Ocean Energy Management, Regulation, and Enforcement; and Bureau of Ocean Energy Management, Regulation, and Enforcement. Case No. 10-1663(F</w:t>
      </w:r>
      <w:proofErr w:type="gramStart"/>
      <w:r w:rsidRPr="00500923">
        <w:rPr>
          <w:rFonts w:ascii="Verdana" w:eastAsia="Times New Roman" w:hAnsi="Verdana" w:cs="Times New Roman"/>
          <w:sz w:val="20"/>
          <w:szCs w:val="20"/>
        </w:rPr>
        <w:t>)(</w:t>
      </w:r>
      <w:proofErr w:type="gramEnd"/>
      <w:r w:rsidRPr="00500923">
        <w:rPr>
          <w:rFonts w:ascii="Verdana" w:eastAsia="Times New Roman" w:hAnsi="Verdana" w:cs="Times New Roman"/>
          <w:sz w:val="20"/>
          <w:szCs w:val="20"/>
        </w:rPr>
        <w:t>2) (U.S. District Court, E.D. Louisiana (696 F. Supp. 2d 627).</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6" w:name="n13"/>
      <w:r>
        <w:rPr>
          <w:rFonts w:ascii="Verdana" w:eastAsia="Times New Roman" w:hAnsi="Verdana" w:cs="Times New Roman"/>
          <w:b/>
          <w:bCs/>
          <w:noProof/>
          <w:color w:val="0000FF"/>
          <w:sz w:val="14"/>
          <w:szCs w:val="14"/>
        </w:rPr>
        <w:drawing>
          <wp:inline distT="0" distB="0" distL="0" distR="0">
            <wp:extent cx="100330" cy="110490"/>
            <wp:effectExtent l="19050" t="0" r="0" b="0"/>
            <wp:docPr id="25" name="Picture 25" descr="Click here to return to the footnote reference.">
              <a:hlinkClick xmlns:a="http://schemas.openxmlformats.org/drawingml/2006/main" r:id="rId2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here to return to the footnote reference.">
                      <a:hlinkClick r:id="rId28"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6"/>
      <w:proofErr w:type="gramStart"/>
      <w:r w:rsidRPr="00500923">
        <w:rPr>
          <w:rFonts w:ascii="Verdana" w:eastAsia="Times New Roman" w:hAnsi="Verdana" w:cs="Times New Roman"/>
          <w:sz w:val="20"/>
          <w:szCs w:val="20"/>
        </w:rPr>
        <w:t>n13</w:t>
      </w:r>
      <w:proofErr w:type="gramEnd"/>
      <w:r w:rsidRPr="00500923">
        <w:rPr>
          <w:rFonts w:ascii="Verdana" w:eastAsia="Times New Roman" w:hAnsi="Verdana" w:cs="Times New Roman"/>
          <w:sz w:val="20"/>
          <w:szCs w:val="20"/>
        </w:rPr>
        <w:t xml:space="preserve"> </w:t>
      </w:r>
      <w:r w:rsidRPr="00500923">
        <w:rPr>
          <w:rFonts w:ascii="Verdana" w:eastAsia="Times New Roman" w:hAnsi="Verdana" w:cs="Times New Roman"/>
          <w:i/>
          <w:iCs/>
          <w:sz w:val="20"/>
          <w:szCs w:val="20"/>
        </w:rPr>
        <w:t xml:space="preserve">See </w:t>
      </w:r>
      <w:hyperlink r:id="rId29" w:tgtFrame="_blank" w:history="1">
        <w:r w:rsidRPr="00500923">
          <w:rPr>
            <w:rFonts w:ascii="Verdana" w:eastAsia="Times New Roman" w:hAnsi="Verdana" w:cs="Times New Roman"/>
            <w:color w:val="0000FF"/>
            <w:sz w:val="20"/>
            <w:u w:val="single"/>
          </w:rPr>
          <w:t>http://www.mcclatchydc.com/2010/05/26/94884/bp-could-be-held-criminally-liable.html</w:t>
        </w:r>
      </w:hyperlink>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7" w:name="n14"/>
      <w:r>
        <w:rPr>
          <w:rFonts w:ascii="Verdana" w:eastAsia="Times New Roman" w:hAnsi="Verdana" w:cs="Times New Roman"/>
          <w:b/>
          <w:bCs/>
          <w:noProof/>
          <w:color w:val="0000FF"/>
          <w:sz w:val="14"/>
          <w:szCs w:val="14"/>
        </w:rPr>
        <w:drawing>
          <wp:inline distT="0" distB="0" distL="0" distR="0">
            <wp:extent cx="100330" cy="110490"/>
            <wp:effectExtent l="19050" t="0" r="0" b="0"/>
            <wp:docPr id="26" name="Picture 26" descr="Click here to return to the footnote reference.">
              <a:hlinkClick xmlns:a="http://schemas.openxmlformats.org/drawingml/2006/main" r:id="rId3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ick here to return to the footnote reference.">
                      <a:hlinkClick r:id="rId30"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7"/>
      <w:r w:rsidRPr="00500923">
        <w:rPr>
          <w:rFonts w:ascii="Verdana" w:eastAsia="Times New Roman" w:hAnsi="Verdana" w:cs="Times New Roman"/>
          <w:sz w:val="20"/>
          <w:szCs w:val="20"/>
        </w:rPr>
        <w:t xml:space="preserve">n14 Bon </w:t>
      </w:r>
      <w:proofErr w:type="spellStart"/>
      <w:r w:rsidRPr="00500923">
        <w:rPr>
          <w:rFonts w:ascii="Verdana" w:eastAsia="Times New Roman" w:hAnsi="Verdana" w:cs="Times New Roman"/>
          <w:sz w:val="20"/>
          <w:szCs w:val="20"/>
        </w:rPr>
        <w:t>Secour</w:t>
      </w:r>
      <w:proofErr w:type="spellEnd"/>
      <w:r w:rsidRPr="00500923">
        <w:rPr>
          <w:rFonts w:ascii="Verdana" w:eastAsia="Times New Roman" w:hAnsi="Verdana" w:cs="Times New Roman"/>
          <w:sz w:val="20"/>
          <w:szCs w:val="20"/>
        </w:rPr>
        <w:t xml:space="preserve"> Fisheries, Inc.; and Bon </w:t>
      </w:r>
      <w:proofErr w:type="spellStart"/>
      <w:r w:rsidRPr="00500923">
        <w:rPr>
          <w:rFonts w:ascii="Verdana" w:eastAsia="Times New Roman" w:hAnsi="Verdana" w:cs="Times New Roman"/>
          <w:sz w:val="20"/>
          <w:szCs w:val="20"/>
        </w:rPr>
        <w:t>Secour</w:t>
      </w:r>
      <w:proofErr w:type="spellEnd"/>
      <w:r w:rsidRPr="00500923">
        <w:rPr>
          <w:rFonts w:ascii="Verdana" w:eastAsia="Times New Roman" w:hAnsi="Verdana" w:cs="Times New Roman"/>
          <w:sz w:val="20"/>
          <w:szCs w:val="20"/>
        </w:rPr>
        <w:t xml:space="preserve"> Boats, Inc.; individually and on behalf of themselves and all others similarly situated v. BP, PLC; BP Products North America, Inc.; BP America, Inc.; Transocean, Ltd.; Transocean Offshore Deepwater, Inc.; Halliburton Energy Services, Inc.; and Cameron International Corporation f/k/a Cooper Cameron Corporation, U.S. District Court, S.D. Alabama, Case No. 10-206; Fort Morgan Sales, Rentals &amp; Development, Inc.; </w:t>
      </w:r>
      <w:proofErr w:type="spellStart"/>
      <w:r w:rsidRPr="00500923">
        <w:rPr>
          <w:rFonts w:ascii="Verdana" w:eastAsia="Times New Roman" w:hAnsi="Verdana" w:cs="Times New Roman"/>
          <w:sz w:val="20"/>
          <w:szCs w:val="20"/>
        </w:rPr>
        <w:t>Prickett</w:t>
      </w:r>
      <w:proofErr w:type="spellEnd"/>
      <w:r w:rsidRPr="00500923">
        <w:rPr>
          <w:rFonts w:ascii="Verdana" w:eastAsia="Times New Roman" w:hAnsi="Verdana" w:cs="Times New Roman"/>
          <w:sz w:val="20"/>
          <w:szCs w:val="20"/>
        </w:rPr>
        <w:t xml:space="preserve"> Properties, LLC; and </w:t>
      </w:r>
      <w:proofErr w:type="spellStart"/>
      <w:r w:rsidRPr="00500923">
        <w:rPr>
          <w:rFonts w:ascii="Verdana" w:eastAsia="Times New Roman" w:hAnsi="Verdana" w:cs="Times New Roman"/>
          <w:sz w:val="20"/>
          <w:szCs w:val="20"/>
        </w:rPr>
        <w:t>Margaritaville</w:t>
      </w:r>
      <w:proofErr w:type="spellEnd"/>
      <w:r w:rsidRPr="00500923">
        <w:rPr>
          <w:rFonts w:ascii="Verdana" w:eastAsia="Times New Roman" w:hAnsi="Verdana" w:cs="Times New Roman"/>
          <w:sz w:val="20"/>
          <w:szCs w:val="20"/>
        </w:rPr>
        <w:t>, LLC v. Transocean Holdings, Inc.; Transocean Offshore Deepwater Drilling, Inc.; Transocean Deepwater, Inc.; BP, PLC; BP Exploration and Production, Inc.; BP America, Inc.; BP Products North America, Inc.; Halliburton Energy Services, Inc.; and Cameron International Corporation, f/k/a Cooper-Cameron Corporation, U.S. District Court, S.D. Alabama, Case No. 10-CV00203; George C. Simpson, individually and on behalf of all others similarly situated v. Transocean, Ltd; BP, PLC; Transocean, Ltd, (Transocean Entity); Transocean Offshore Deepwater Drilling, Inc. (Transocean Entity); Transocean Deepwater, Inc. (Transocean Entity); BP Products North America, Inc.; Halliburton Energy Services, Inc.; Cameron International Corporation; and BP America, U.S. District Court, S.D. Alabama Case No. 1:10-cv-00210.</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The National Vietnamese American Fishermen Emergency Association, Nam Nguyen, and Hung Tran v. BP, PLC, BP Products North America, Inc., BP America, Inc., Transocean, Ltd., Transocean Offshore Deepwater Drilling, Inc., Transocean Deepwater, Inc., Halliburton Energy Services, Inc. and Cameron International Corporation f/k/a Cooper Cameron Corporation, U.S. District Court, S.D. Texas, Houston Division, Case No. 4:10-cv-01607.</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8" w:name="n15"/>
      <w:r>
        <w:rPr>
          <w:rFonts w:ascii="Verdana" w:eastAsia="Times New Roman" w:hAnsi="Verdana" w:cs="Times New Roman"/>
          <w:b/>
          <w:bCs/>
          <w:noProof/>
          <w:color w:val="0000FF"/>
          <w:sz w:val="14"/>
          <w:szCs w:val="14"/>
        </w:rPr>
        <w:drawing>
          <wp:inline distT="0" distB="0" distL="0" distR="0">
            <wp:extent cx="100330" cy="110490"/>
            <wp:effectExtent l="19050" t="0" r="0" b="0"/>
            <wp:docPr id="27" name="Picture 27" descr="Click here to return to the footnote reference.">
              <a:hlinkClick xmlns:a="http://schemas.openxmlformats.org/drawingml/2006/main" r:id="rId3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ck here to return to the footnote reference.">
                      <a:hlinkClick r:id="rId31"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8"/>
      <w:proofErr w:type="gramStart"/>
      <w:r w:rsidRPr="00500923">
        <w:rPr>
          <w:rFonts w:ascii="Verdana" w:eastAsia="Times New Roman" w:hAnsi="Verdana" w:cs="Times New Roman"/>
          <w:sz w:val="20"/>
          <w:szCs w:val="20"/>
        </w:rPr>
        <w:t>n15</w:t>
      </w:r>
      <w:proofErr w:type="gramEnd"/>
      <w:r w:rsidRPr="00500923">
        <w:rPr>
          <w:rFonts w:ascii="Verdana" w:eastAsia="Times New Roman" w:hAnsi="Verdana" w:cs="Times New Roman"/>
          <w:sz w:val="20"/>
          <w:szCs w:val="20"/>
        </w:rPr>
        <w:t xml:space="preserve"> Donald P. Foley, on behalf of himself and all others similarly situated v. Transocean Ltd., Steven L. Newman, and Robert L. Long, U.S. District Court, S.D. </w:t>
      </w:r>
      <w:proofErr w:type="gramStart"/>
      <w:r w:rsidRPr="00500923">
        <w:rPr>
          <w:rFonts w:ascii="Verdana" w:eastAsia="Times New Roman" w:hAnsi="Verdana" w:cs="Times New Roman"/>
          <w:sz w:val="20"/>
          <w:szCs w:val="20"/>
        </w:rPr>
        <w:t>New York, Case No. 10 CV 5233.</w:t>
      </w:r>
      <w:proofErr w:type="gramEnd"/>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39" w:name="n16"/>
      <w:r>
        <w:rPr>
          <w:rFonts w:ascii="Verdana" w:eastAsia="Times New Roman" w:hAnsi="Verdana" w:cs="Times New Roman"/>
          <w:b/>
          <w:bCs/>
          <w:noProof/>
          <w:color w:val="0000FF"/>
          <w:sz w:val="14"/>
          <w:szCs w:val="14"/>
        </w:rPr>
        <w:drawing>
          <wp:inline distT="0" distB="0" distL="0" distR="0">
            <wp:extent cx="100330" cy="110490"/>
            <wp:effectExtent l="19050" t="0" r="0" b="0"/>
            <wp:docPr id="28" name="Picture 28" descr="Click here to return to the footnote reference.">
              <a:hlinkClick xmlns:a="http://schemas.openxmlformats.org/drawingml/2006/main" r:id="rId32"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ck here to return to the footnote reference.">
                      <a:hlinkClick r:id="rId32"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39"/>
      <w:proofErr w:type="gramStart"/>
      <w:r w:rsidRPr="00500923">
        <w:rPr>
          <w:rFonts w:ascii="Verdana" w:eastAsia="Times New Roman" w:hAnsi="Verdana" w:cs="Times New Roman"/>
          <w:sz w:val="20"/>
          <w:szCs w:val="20"/>
        </w:rPr>
        <w:t>n16</w:t>
      </w:r>
      <w:proofErr w:type="gramEnd"/>
      <w:r w:rsidRPr="00500923">
        <w:rPr>
          <w:rFonts w:ascii="Verdana" w:eastAsia="Times New Roman" w:hAnsi="Verdana" w:cs="Times New Roman"/>
          <w:sz w:val="20"/>
          <w:szCs w:val="20"/>
        </w:rPr>
        <w:t xml:space="preserve"> Center For Biological Diversity, Inc. v. BP America, Inc.; BP Exploration &amp; Production, Inc.; BP, PLC; Transocean Ltd.; Transocean, Inc.; and Transocean Offshore USA, Inc., U.S. District Court, E.D. Louisiana, No. 10-CV01768.</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0" w:name="n17"/>
      <w:r>
        <w:rPr>
          <w:rFonts w:ascii="Verdana" w:eastAsia="Times New Roman" w:hAnsi="Verdana" w:cs="Times New Roman"/>
          <w:b/>
          <w:bCs/>
          <w:noProof/>
          <w:color w:val="0000FF"/>
          <w:sz w:val="14"/>
          <w:szCs w:val="14"/>
        </w:rPr>
        <w:drawing>
          <wp:inline distT="0" distB="0" distL="0" distR="0">
            <wp:extent cx="100330" cy="110490"/>
            <wp:effectExtent l="19050" t="0" r="0" b="0"/>
            <wp:docPr id="29" name="Picture 29" descr="Click here to return to the footnote reference.">
              <a:hlinkClick xmlns:a="http://schemas.openxmlformats.org/drawingml/2006/main" r:id="rId33"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here to return to the footnote reference.">
                      <a:hlinkClick r:id="rId33"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0"/>
      <w:r w:rsidRPr="00500923">
        <w:rPr>
          <w:rFonts w:ascii="Verdana" w:eastAsia="Times New Roman" w:hAnsi="Verdana" w:cs="Times New Roman"/>
          <w:sz w:val="20"/>
          <w:szCs w:val="20"/>
        </w:rPr>
        <w:t xml:space="preserve">n17 Defenders of Wildlife v. MMS, No. 10-254 (S.D. Ala.); Center for Biological Diversity v. Salazar, Case No. 1:10-cv-00816-HHK (D.D.C. 2010); Center for Biological Diversity v. Salazar, Case No. 10-60417 (5th Cir. 2010). In addition, Sierra Club has challenged MMS's failure to comply with NEPA in approving five deepwater exploration plans in reliance on an overbroad categorical exclusion (Gulf Restoration Network, Inc. and Sierra Club, Inc. v. Ken Salazar, Secretary of the Department of Interior; Wilma Lewis, Assistant Secretary, Land and Minerals Management, Department of the Interior; S. Elizabeth </w:t>
      </w:r>
      <w:proofErr w:type="spellStart"/>
      <w:r w:rsidRPr="00500923">
        <w:rPr>
          <w:rFonts w:ascii="Verdana" w:eastAsia="Times New Roman" w:hAnsi="Verdana" w:cs="Times New Roman"/>
          <w:sz w:val="20"/>
          <w:szCs w:val="20"/>
        </w:rPr>
        <w:t>Birnbaum</w:t>
      </w:r>
      <w:proofErr w:type="spellEnd"/>
      <w:r w:rsidRPr="00500923">
        <w:rPr>
          <w:rFonts w:ascii="Verdana" w:eastAsia="Times New Roman" w:hAnsi="Verdana" w:cs="Times New Roman"/>
          <w:sz w:val="20"/>
          <w:szCs w:val="20"/>
        </w:rPr>
        <w:t xml:space="preserve">, Director Minerals Management Service, Department of the Interior, U.S. District Court, E.D. Louisiana, Case No. 10CV01497), and CBD has similarly challenged MMS's NEPA violations with respect to 39 exploration and development plans in the Gulf. </w:t>
      </w:r>
      <w:proofErr w:type="gramStart"/>
      <w:r w:rsidRPr="00500923">
        <w:rPr>
          <w:rFonts w:ascii="Verdana" w:eastAsia="Times New Roman" w:hAnsi="Verdana" w:cs="Times New Roman"/>
          <w:sz w:val="20"/>
          <w:szCs w:val="20"/>
        </w:rPr>
        <w:t>Center for Biological Diversity v. Salazar, Case No. 10-60417 (5th Cir. 2010).</w:t>
      </w:r>
      <w:proofErr w:type="gramEnd"/>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1" w:name="n18"/>
      <w:r>
        <w:rPr>
          <w:rFonts w:ascii="Verdana" w:eastAsia="Times New Roman" w:hAnsi="Verdana" w:cs="Times New Roman"/>
          <w:b/>
          <w:bCs/>
          <w:noProof/>
          <w:color w:val="0000FF"/>
          <w:sz w:val="14"/>
          <w:szCs w:val="14"/>
        </w:rPr>
        <w:drawing>
          <wp:inline distT="0" distB="0" distL="0" distR="0">
            <wp:extent cx="100330" cy="110490"/>
            <wp:effectExtent l="19050" t="0" r="0" b="0"/>
            <wp:docPr id="30" name="Picture 30" descr="Click here to return to the footnote reference.">
              <a:hlinkClick xmlns:a="http://schemas.openxmlformats.org/drawingml/2006/main" r:id="rId3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ick here to return to the footnote reference.">
                      <a:hlinkClick r:id="rId34"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1"/>
      <w:r w:rsidRPr="00500923">
        <w:rPr>
          <w:rFonts w:ascii="Verdana" w:eastAsia="Times New Roman" w:hAnsi="Verdana" w:cs="Times New Roman"/>
          <w:sz w:val="20"/>
          <w:szCs w:val="20"/>
        </w:rPr>
        <w:t xml:space="preserve">n18 Gulf Restoration Network, Inc. and Sierra Club, Inc. v. Ken Salazar, Secretary of the Department of Interior; Wilma Lewis, Assistant Secretary, Land and Minerals Management, Department of the Interior; S. Elizabeth </w:t>
      </w:r>
      <w:proofErr w:type="spellStart"/>
      <w:r w:rsidRPr="00500923">
        <w:rPr>
          <w:rFonts w:ascii="Verdana" w:eastAsia="Times New Roman" w:hAnsi="Verdana" w:cs="Times New Roman"/>
          <w:sz w:val="20"/>
          <w:szCs w:val="20"/>
        </w:rPr>
        <w:t>Birnbaum</w:t>
      </w:r>
      <w:proofErr w:type="spellEnd"/>
      <w:r w:rsidRPr="00500923">
        <w:rPr>
          <w:rFonts w:ascii="Verdana" w:eastAsia="Times New Roman" w:hAnsi="Verdana" w:cs="Times New Roman"/>
          <w:sz w:val="20"/>
          <w:szCs w:val="20"/>
        </w:rPr>
        <w:t>, Director Minerals Management Service, Department of the Interior, U.S. District Court, E.D. Louisiana, Case No. 10CV01497.</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2" w:name="n19"/>
      <w:r>
        <w:rPr>
          <w:rFonts w:ascii="Verdana" w:eastAsia="Times New Roman" w:hAnsi="Verdana" w:cs="Times New Roman"/>
          <w:b/>
          <w:bCs/>
          <w:noProof/>
          <w:color w:val="0000FF"/>
          <w:sz w:val="14"/>
          <w:szCs w:val="14"/>
        </w:rPr>
        <w:drawing>
          <wp:inline distT="0" distB="0" distL="0" distR="0">
            <wp:extent cx="100330" cy="110490"/>
            <wp:effectExtent l="19050" t="0" r="0" b="0"/>
            <wp:docPr id="31" name="Picture 31" descr="Click here to return to the footnote reference.">
              <a:hlinkClick xmlns:a="http://schemas.openxmlformats.org/drawingml/2006/main" r:id="rId3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ck here to return to the footnote reference.">
                      <a:hlinkClick r:id="rId35"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2"/>
      <w:r w:rsidRPr="00500923">
        <w:rPr>
          <w:rFonts w:ascii="Verdana" w:eastAsia="Times New Roman" w:hAnsi="Verdana" w:cs="Times New Roman"/>
          <w:sz w:val="20"/>
          <w:szCs w:val="20"/>
        </w:rPr>
        <w:t>n19 Williams v. Transocean, Ltd., U.S. District Court, E.D. Louisiana, Case No. 10-1243.</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3" w:name="n20"/>
      <w:r>
        <w:rPr>
          <w:rFonts w:ascii="Verdana" w:eastAsia="Times New Roman" w:hAnsi="Verdana" w:cs="Times New Roman"/>
          <w:b/>
          <w:bCs/>
          <w:noProof/>
          <w:color w:val="0000FF"/>
          <w:sz w:val="14"/>
          <w:szCs w:val="14"/>
        </w:rPr>
        <w:drawing>
          <wp:inline distT="0" distB="0" distL="0" distR="0">
            <wp:extent cx="100330" cy="110490"/>
            <wp:effectExtent l="19050" t="0" r="0" b="0"/>
            <wp:docPr id="32" name="Picture 32" descr="Click here to return to the footnote reference.">
              <a:hlinkClick xmlns:a="http://schemas.openxmlformats.org/drawingml/2006/main" r:id="rId3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ck here to return to the footnote reference.">
                      <a:hlinkClick r:id="rId36"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3"/>
      <w:r w:rsidRPr="00500923">
        <w:rPr>
          <w:rFonts w:ascii="Verdana" w:eastAsia="Times New Roman" w:hAnsi="Verdana" w:cs="Times New Roman"/>
          <w:sz w:val="20"/>
          <w:szCs w:val="20"/>
        </w:rPr>
        <w:t>n20 Certain Underwriters at Lloyd's, London and Various Insurance Companies, v. BP PLC, BP Exploration &amp; Production, Inc., BP America Production Company, BP Corporation North America, Inc., BP Company North America, Inc., BP Products North America, Inc., BP America, Inc. and BP Holdings North America Limited, Case No. 10-CV01823, U.S. District Court, S.D. Texas, Houston Division.</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4" w:name="n21"/>
      <w:r>
        <w:rPr>
          <w:rFonts w:ascii="Verdana" w:eastAsia="Times New Roman" w:hAnsi="Verdana" w:cs="Times New Roman"/>
          <w:b/>
          <w:bCs/>
          <w:noProof/>
          <w:color w:val="0000FF"/>
          <w:sz w:val="14"/>
          <w:szCs w:val="14"/>
        </w:rPr>
        <w:drawing>
          <wp:inline distT="0" distB="0" distL="0" distR="0">
            <wp:extent cx="100330" cy="110490"/>
            <wp:effectExtent l="19050" t="0" r="0" b="0"/>
            <wp:docPr id="33" name="Picture 33" descr="Click here to return to the footnote reference.">
              <a:hlinkClick xmlns:a="http://schemas.openxmlformats.org/drawingml/2006/main" r:id="rId3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ick here to return to the footnote reference.">
                      <a:hlinkClick r:id="rId37"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4"/>
      <w:proofErr w:type="gramStart"/>
      <w:r w:rsidRPr="00500923">
        <w:rPr>
          <w:rFonts w:ascii="Verdana" w:eastAsia="Times New Roman" w:hAnsi="Verdana" w:cs="Times New Roman"/>
          <w:sz w:val="20"/>
          <w:szCs w:val="20"/>
        </w:rPr>
        <w:t xml:space="preserve">n21 </w:t>
      </w:r>
      <w:r w:rsidRPr="00500923">
        <w:rPr>
          <w:rFonts w:ascii="Verdana" w:eastAsia="Times New Roman" w:hAnsi="Verdana" w:cs="Times New Roman"/>
          <w:i/>
          <w:iCs/>
          <w:sz w:val="20"/>
          <w:szCs w:val="20"/>
        </w:rPr>
        <w:t>Id.</w:t>
      </w:r>
      <w:proofErr w:type="gramEnd"/>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5" w:name="n22"/>
      <w:r>
        <w:rPr>
          <w:rFonts w:ascii="Verdana" w:eastAsia="Times New Roman" w:hAnsi="Verdana" w:cs="Times New Roman"/>
          <w:b/>
          <w:bCs/>
          <w:noProof/>
          <w:color w:val="0000FF"/>
          <w:sz w:val="14"/>
          <w:szCs w:val="14"/>
        </w:rPr>
        <w:drawing>
          <wp:inline distT="0" distB="0" distL="0" distR="0">
            <wp:extent cx="100330" cy="110490"/>
            <wp:effectExtent l="19050" t="0" r="0" b="0"/>
            <wp:docPr id="34" name="Picture 34" descr="Click here to return to the footnote reference.">
              <a:hlinkClick xmlns:a="http://schemas.openxmlformats.org/drawingml/2006/main" r:id="rId3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lick here to return to the footnote reference.">
                      <a:hlinkClick r:id="rId38"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5"/>
      <w:r w:rsidRPr="00500923">
        <w:rPr>
          <w:rFonts w:ascii="Verdana" w:eastAsia="Times New Roman" w:hAnsi="Verdana" w:cs="Times New Roman"/>
          <w:sz w:val="20"/>
          <w:szCs w:val="20"/>
        </w:rPr>
        <w:t xml:space="preserve">n22 Maureen S. Riley, Individually, On Behalf of the BP Employee Savings Plan, BP Capital Accumulation Plan, BP Partnership Savings Plan, BP </w:t>
      </w:r>
      <w:proofErr w:type="spellStart"/>
      <w:r w:rsidRPr="00500923">
        <w:rPr>
          <w:rFonts w:ascii="Verdana" w:eastAsia="Times New Roman" w:hAnsi="Verdana" w:cs="Times New Roman"/>
          <w:sz w:val="20"/>
          <w:szCs w:val="20"/>
        </w:rPr>
        <w:t>DirectSave</w:t>
      </w:r>
      <w:proofErr w:type="spellEnd"/>
      <w:r w:rsidRPr="00500923">
        <w:rPr>
          <w:rFonts w:ascii="Verdana" w:eastAsia="Times New Roman" w:hAnsi="Verdana" w:cs="Times New Roman"/>
          <w:sz w:val="20"/>
          <w:szCs w:val="20"/>
        </w:rPr>
        <w:t xml:space="preserve"> Plan, and on Behalf of All Others Similarly Situated v. BP Corporation North America, Inc., BP America, Inc., BP P.L.C, BP Corporation North America Inc. Savings Plan Investment Oversight Committee, Investment Committee, Anthony B. Hayward, Lamar McKay, Gregory T. Williamson, Stephanie C. Atkins, Richard J. </w:t>
      </w:r>
      <w:proofErr w:type="spellStart"/>
      <w:r w:rsidRPr="00500923">
        <w:rPr>
          <w:rFonts w:ascii="Verdana" w:eastAsia="Times New Roman" w:hAnsi="Verdana" w:cs="Times New Roman"/>
          <w:sz w:val="20"/>
          <w:szCs w:val="20"/>
        </w:rPr>
        <w:t>Dorazil</w:t>
      </w:r>
      <w:proofErr w:type="spellEnd"/>
      <w:r w:rsidRPr="00500923">
        <w:rPr>
          <w:rFonts w:ascii="Verdana" w:eastAsia="Times New Roman" w:hAnsi="Verdana" w:cs="Times New Roman"/>
          <w:sz w:val="20"/>
          <w:szCs w:val="20"/>
        </w:rPr>
        <w:t>, Neil Shaw, Thomas L. Taylor, Byron E. Grote, State Street Bank and Trust Company, U.S. District Court, N.D. Illinois, Eastern Division, Case No. 10-CV04448.</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t xml:space="preserve">Jerry T. McGuire, Individually, On Behalf of the BP Employee Savings Plan, BP Capital Accumulation Plan, BP Partnership Savings Plan, BP </w:t>
      </w:r>
      <w:proofErr w:type="spellStart"/>
      <w:r w:rsidRPr="00500923">
        <w:rPr>
          <w:rFonts w:ascii="Verdana" w:eastAsia="Times New Roman" w:hAnsi="Verdana" w:cs="Times New Roman"/>
          <w:sz w:val="20"/>
          <w:szCs w:val="20"/>
        </w:rPr>
        <w:t>DirectSave</w:t>
      </w:r>
      <w:proofErr w:type="spellEnd"/>
      <w:r w:rsidRPr="00500923">
        <w:rPr>
          <w:rFonts w:ascii="Verdana" w:eastAsia="Times New Roman" w:hAnsi="Verdana" w:cs="Times New Roman"/>
          <w:sz w:val="20"/>
          <w:szCs w:val="20"/>
        </w:rPr>
        <w:t xml:space="preserve"> Plan, and On Behalf of All Others Similarly Situated v. BP Corporation North America, Inc., BP America, Inc., BP PLC, BP Corporation North America Inc. Savings Plan Investment Oversight Committee, Investment Committee, Anthony B. Hayward, Lamar McKay, Gregory T. Williamson, Stephanie C. Atkins, Richard J. </w:t>
      </w:r>
      <w:proofErr w:type="spellStart"/>
      <w:r w:rsidRPr="00500923">
        <w:rPr>
          <w:rFonts w:ascii="Verdana" w:eastAsia="Times New Roman" w:hAnsi="Verdana" w:cs="Times New Roman"/>
          <w:sz w:val="20"/>
          <w:szCs w:val="20"/>
        </w:rPr>
        <w:t>Dorazil</w:t>
      </w:r>
      <w:proofErr w:type="spellEnd"/>
      <w:r w:rsidRPr="00500923">
        <w:rPr>
          <w:rFonts w:ascii="Verdana" w:eastAsia="Times New Roman" w:hAnsi="Verdana" w:cs="Times New Roman"/>
          <w:sz w:val="20"/>
          <w:szCs w:val="20"/>
        </w:rPr>
        <w:t xml:space="preserve">, Neil Shaw, Thomas L. Taylor, Byron E. Grote, State Street Bank and Trust Company, U.S. District Court, N.D. Illinois. </w:t>
      </w:r>
      <w:proofErr w:type="gramStart"/>
      <w:r w:rsidRPr="00500923">
        <w:rPr>
          <w:rFonts w:ascii="Verdana" w:eastAsia="Times New Roman" w:hAnsi="Verdana" w:cs="Times New Roman"/>
          <w:sz w:val="20"/>
          <w:szCs w:val="20"/>
        </w:rPr>
        <w:t>Eastern Division, Case No. 10-CV04337.</w:t>
      </w:r>
      <w:proofErr w:type="gramEnd"/>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bookmarkStart w:id="46" w:name="n23"/>
      <w:r>
        <w:rPr>
          <w:rFonts w:ascii="Verdana" w:eastAsia="Times New Roman" w:hAnsi="Verdana" w:cs="Times New Roman"/>
          <w:b/>
          <w:bCs/>
          <w:noProof/>
          <w:color w:val="0000FF"/>
          <w:sz w:val="14"/>
          <w:szCs w:val="14"/>
        </w:rPr>
        <w:drawing>
          <wp:inline distT="0" distB="0" distL="0" distR="0">
            <wp:extent cx="100330" cy="110490"/>
            <wp:effectExtent l="19050" t="0" r="0" b="0"/>
            <wp:docPr id="35" name="Picture 35" descr="Click here to return to the footnote reference.">
              <a:hlinkClick xmlns:a="http://schemas.openxmlformats.org/drawingml/2006/main" r:id="rId39"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ick here to return to the footnote reference.">
                      <a:hlinkClick r:id="rId39" tgtFrame="_self"/>
                    </pic:cNvPr>
                    <pic:cNvPicPr>
                      <a:picLocks noChangeAspect="1" noChangeArrowheads="1"/>
                    </pic:cNvPicPr>
                  </pic:nvPicPr>
                  <pic:blipFill>
                    <a:blip r:embed="rId6" cstate="print"/>
                    <a:srcRect/>
                    <a:stretch>
                      <a:fillRect/>
                    </a:stretch>
                  </pic:blipFill>
                  <pic:spPr bwMode="auto">
                    <a:xfrm>
                      <a:off x="0" y="0"/>
                      <a:ext cx="100330" cy="110490"/>
                    </a:xfrm>
                    <a:prstGeom prst="rect">
                      <a:avLst/>
                    </a:prstGeom>
                    <a:noFill/>
                    <a:ln w="9525">
                      <a:noFill/>
                      <a:miter lim="800000"/>
                      <a:headEnd/>
                      <a:tailEnd/>
                    </a:ln>
                  </pic:spPr>
                </pic:pic>
              </a:graphicData>
            </a:graphic>
          </wp:inline>
        </w:drawing>
      </w:r>
      <w:bookmarkEnd w:id="46"/>
      <w:proofErr w:type="gramStart"/>
      <w:r w:rsidRPr="00500923">
        <w:rPr>
          <w:rFonts w:ascii="Verdana" w:eastAsia="Times New Roman" w:hAnsi="Verdana" w:cs="Times New Roman"/>
          <w:sz w:val="20"/>
          <w:szCs w:val="20"/>
        </w:rPr>
        <w:t>n23</w:t>
      </w:r>
      <w:proofErr w:type="gramEnd"/>
      <w:r w:rsidRPr="00500923">
        <w:rPr>
          <w:rFonts w:ascii="Verdana" w:eastAsia="Times New Roman" w:hAnsi="Verdana" w:cs="Times New Roman"/>
          <w:sz w:val="20"/>
          <w:szCs w:val="20"/>
        </w:rPr>
        <w:t xml:space="preserve"> Center for Biological Diversity, </w:t>
      </w:r>
      <w:r w:rsidRPr="00500923">
        <w:rPr>
          <w:rFonts w:ascii="Verdana" w:eastAsia="Times New Roman" w:hAnsi="Verdana" w:cs="Times New Roman"/>
          <w:i/>
          <w:iCs/>
          <w:sz w:val="20"/>
          <w:szCs w:val="20"/>
        </w:rPr>
        <w:t>et al</w:t>
      </w:r>
      <w:r w:rsidRPr="00500923">
        <w:rPr>
          <w:rFonts w:ascii="Verdana" w:eastAsia="Times New Roman" w:hAnsi="Verdana" w:cs="Times New Roman"/>
          <w:sz w:val="20"/>
          <w:szCs w:val="20"/>
        </w:rPr>
        <w:t xml:space="preserve">, v. BP, PLC, U.S. District Court, Eastern District of Louisiana, Case No. 10-vc-01866. </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RELATED LINKS:</w:t>
      </w:r>
      <w:r w:rsidRPr="00500923">
        <w:rPr>
          <w:rFonts w:ascii="Verdana" w:eastAsia="Times New Roman" w:hAnsi="Verdana" w:cs="Times New Roman"/>
          <w:sz w:val="20"/>
          <w:szCs w:val="20"/>
        </w:rPr>
        <w:t xml:space="preserve"> For additional information on Energy Law, see David J. </w:t>
      </w:r>
      <w:proofErr w:type="spellStart"/>
      <w:r w:rsidRPr="00500923">
        <w:rPr>
          <w:rFonts w:ascii="Verdana" w:eastAsia="Times New Roman" w:hAnsi="Verdana" w:cs="Times New Roman"/>
          <w:sz w:val="20"/>
          <w:szCs w:val="20"/>
        </w:rPr>
        <w:t>Muchow</w:t>
      </w:r>
      <w:proofErr w:type="spellEnd"/>
      <w:r w:rsidRPr="00500923">
        <w:rPr>
          <w:rFonts w:ascii="Verdana" w:eastAsia="Times New Roman" w:hAnsi="Verdana" w:cs="Times New Roman"/>
          <w:sz w:val="20"/>
          <w:szCs w:val="20"/>
        </w:rPr>
        <w:t xml:space="preserve"> and William A. </w:t>
      </w:r>
      <w:proofErr w:type="spellStart"/>
      <w:r w:rsidRPr="00500923">
        <w:rPr>
          <w:rFonts w:ascii="Verdana" w:eastAsia="Times New Roman" w:hAnsi="Verdana" w:cs="Times New Roman"/>
          <w:sz w:val="20"/>
          <w:szCs w:val="20"/>
        </w:rPr>
        <w:t>Mogel</w:t>
      </w:r>
      <w:proofErr w:type="spellEnd"/>
      <w:r w:rsidRPr="00500923">
        <w:rPr>
          <w:rFonts w:ascii="Verdana" w:eastAsia="Times New Roman" w:hAnsi="Verdana" w:cs="Times New Roman"/>
          <w:sz w:val="20"/>
          <w:szCs w:val="20"/>
        </w:rPr>
        <w:t>,</w:t>
      </w:r>
      <w:r w:rsidRPr="00500923">
        <w:rPr>
          <w:rFonts w:ascii="Verdana" w:eastAsia="Times New Roman" w:hAnsi="Verdana" w:cs="Times New Roman"/>
          <w:sz w:val="20"/>
          <w:szCs w:val="20"/>
        </w:rPr>
        <w:br/>
        <w:t> </w:t>
      </w:r>
      <w:r>
        <w:rPr>
          <w:rFonts w:ascii="Verdana" w:eastAsia="Times New Roman" w:hAnsi="Verdana" w:cs="Times New Roman"/>
          <w:noProof/>
          <w:sz w:val="20"/>
          <w:szCs w:val="20"/>
        </w:rPr>
        <w:drawing>
          <wp:inline distT="0" distB="0" distL="0" distR="0">
            <wp:extent cx="80645" cy="70485"/>
            <wp:effectExtent l="19050" t="0" r="0" b="0"/>
            <wp:docPr id="36" name="Picture 36"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Energy Law and Transactions;</w:t>
      </w:r>
      <w:r w:rsidRPr="00500923">
        <w:rPr>
          <w:rFonts w:ascii="Verdana" w:eastAsia="Times New Roman" w:hAnsi="Verdana" w:cs="Times New Roman"/>
          <w:sz w:val="20"/>
          <w:szCs w:val="20"/>
        </w:rPr>
        <w:br/>
        <w:t> </w:t>
      </w:r>
      <w:r>
        <w:rPr>
          <w:rFonts w:ascii="Verdana" w:eastAsia="Times New Roman" w:hAnsi="Verdana" w:cs="Times New Roman"/>
          <w:noProof/>
          <w:sz w:val="20"/>
          <w:szCs w:val="20"/>
        </w:rPr>
        <w:drawing>
          <wp:inline distT="0" distB="0" distL="0" distR="0">
            <wp:extent cx="80645" cy="70485"/>
            <wp:effectExtent l="19050" t="0" r="0" b="0"/>
            <wp:docPr id="37" name="Picture 37" descr="Data 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ta in Image"/>
                    <pic:cNvPicPr>
                      <a:picLocks noChangeAspect="1" noChangeArrowheads="1"/>
                    </pic:cNvPicPr>
                  </pic:nvPicPr>
                  <pic:blipFill>
                    <a:blip r:embed="rId4" cstate="print"/>
                    <a:srcRect/>
                    <a:stretch>
                      <a:fillRect/>
                    </a:stretch>
                  </pic:blipFill>
                  <pic:spPr bwMode="auto">
                    <a:xfrm>
                      <a:off x="0" y="0"/>
                      <a:ext cx="80645" cy="70485"/>
                    </a:xfrm>
                    <a:prstGeom prst="rect">
                      <a:avLst/>
                    </a:prstGeom>
                    <a:noFill/>
                    <a:ln w="9525">
                      <a:noFill/>
                      <a:miter lim="800000"/>
                      <a:headEnd/>
                      <a:tailEnd/>
                    </a:ln>
                  </pic:spPr>
                </pic:pic>
              </a:graphicData>
            </a:graphic>
          </wp:inline>
        </w:drawing>
      </w:r>
      <w:r w:rsidRPr="00500923">
        <w:rPr>
          <w:rFonts w:ascii="Verdana" w:eastAsia="Times New Roman" w:hAnsi="Verdana" w:cs="Times New Roman"/>
          <w:sz w:val="20"/>
          <w:szCs w:val="20"/>
        </w:rPr>
        <w:t>Energy Law page.</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PDF LINK:</w:t>
      </w:r>
      <w:r w:rsidRPr="00500923">
        <w:rPr>
          <w:rFonts w:ascii="Verdana" w:eastAsia="Times New Roman" w:hAnsi="Verdana" w:cs="Times New Roman"/>
          <w:sz w:val="20"/>
          <w:szCs w:val="20"/>
        </w:rPr>
        <w:t xml:space="preserve"> Click here for enhanced PDF of this Emerging Issues Analysis at no additional charge</w:t>
      </w:r>
      <w:r w:rsidRPr="00500923">
        <w:rPr>
          <w:rFonts w:ascii="Verdana" w:eastAsia="Times New Roman" w:hAnsi="Verdana" w:cs="Times New Roman"/>
          <w:sz w:val="20"/>
          <w:szCs w:val="20"/>
        </w:rPr>
        <w:br/>
        <w:t> </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ABOUT THE AUTHOR(S)</w:t>
      </w:r>
      <w:proofErr w:type="gramStart"/>
      <w:r w:rsidRPr="00500923">
        <w:rPr>
          <w:rFonts w:ascii="Verdana" w:eastAsia="Times New Roman" w:hAnsi="Verdana" w:cs="Times New Roman"/>
          <w:b/>
          <w:bCs/>
          <w:sz w:val="20"/>
          <w:szCs w:val="20"/>
        </w:rPr>
        <w:t>:</w:t>
      </w:r>
      <w:bookmarkEnd w:id="0"/>
      <w:proofErr w:type="gramEnd"/>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Andrea Chambers</w:t>
      </w:r>
      <w:r w:rsidRPr="00500923">
        <w:rPr>
          <w:rFonts w:ascii="Verdana" w:eastAsia="Times New Roman" w:hAnsi="Verdana" w:cs="Times New Roman"/>
          <w:sz w:val="20"/>
          <w:szCs w:val="20"/>
        </w:rPr>
        <w:t xml:space="preserve"> is a partner with Foley &amp; Lardner LLP and a member of the Energy Industry Team. She provides regulatory counsel to entities involved in the restructuring of electric and natural gas industries. Ms. Chambers earned her J.D. from American University and her B.A. from Georgetown University.</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b/>
          <w:bCs/>
          <w:sz w:val="20"/>
          <w:szCs w:val="20"/>
        </w:rPr>
        <w:t>Jerry Brown</w:t>
      </w:r>
      <w:r w:rsidRPr="00500923">
        <w:rPr>
          <w:rFonts w:ascii="Verdana" w:eastAsia="Times New Roman" w:hAnsi="Verdana" w:cs="Times New Roman"/>
          <w:sz w:val="20"/>
          <w:szCs w:val="20"/>
        </w:rPr>
        <w:t xml:space="preserve"> is an associate at Foley &amp; Lardner LLP. He is a member of the firm's Energy Industry Team. He earned his law degree from the University </w:t>
      </w:r>
      <w:proofErr w:type="gramStart"/>
      <w:r w:rsidRPr="00500923">
        <w:rPr>
          <w:rFonts w:ascii="Verdana" w:eastAsia="Times New Roman" w:hAnsi="Verdana" w:cs="Times New Roman"/>
          <w:sz w:val="20"/>
          <w:szCs w:val="20"/>
        </w:rPr>
        <w:t>of Minnesota School of</w:t>
      </w:r>
      <w:proofErr w:type="gramEnd"/>
      <w:r w:rsidRPr="00500923">
        <w:rPr>
          <w:rFonts w:ascii="Verdana" w:eastAsia="Times New Roman" w:hAnsi="Verdana" w:cs="Times New Roman"/>
          <w:sz w:val="20"/>
          <w:szCs w:val="20"/>
        </w:rPr>
        <w:t xml:space="preserve"> Law where he was managing editor for the Journal of Law &amp; Inequality. Mr. Brown earned his bachelor's degree from the University of Chicago.</w:t>
      </w:r>
      <w:r w:rsidRPr="00500923">
        <w:rPr>
          <w:rFonts w:ascii="Verdana" w:eastAsia="Times New Roman" w:hAnsi="Verdana" w:cs="Times New Roman"/>
          <w:sz w:val="20"/>
          <w:szCs w:val="20"/>
        </w:rPr>
        <w:br/>
      </w:r>
      <w:r w:rsidRPr="00500923">
        <w:rPr>
          <w:rFonts w:ascii="Verdana" w:eastAsia="Times New Roman" w:hAnsi="Verdana" w:cs="Times New Roman"/>
          <w:sz w:val="20"/>
          <w:szCs w:val="20"/>
        </w:rPr>
        <w:br/>
      </w:r>
      <w:r w:rsidRPr="00500923">
        <w:rPr>
          <w:rFonts w:ascii="Verdana" w:eastAsia="Times New Roman" w:hAnsi="Verdana" w:cs="Times New Roman"/>
          <w:i/>
          <w:iCs/>
          <w:sz w:val="20"/>
          <w:szCs w:val="20"/>
        </w:rPr>
        <w:t>Information referenced herein is provided for educational purposes only. For legal advice applicable to the facts of your particular situation, you should obtain the services of a qualified attorney licensed to practice law in your state.</w:t>
      </w:r>
      <w:r w:rsidRPr="00500923">
        <w:rPr>
          <w:rFonts w:ascii="Verdana" w:eastAsia="Times New Roman" w:hAnsi="Verdana" w:cs="Times New Roman"/>
          <w:sz w:val="20"/>
          <w:szCs w:val="20"/>
        </w:rPr>
        <w:t xml:space="preserve"> </w:t>
      </w:r>
    </w:p>
    <w:p w:rsidR="00500923" w:rsidRPr="00500923" w:rsidRDefault="00500923" w:rsidP="00500923">
      <w:pPr>
        <w:pBdr>
          <w:bottom w:val="single" w:sz="6" w:space="1" w:color="auto"/>
        </w:pBdr>
        <w:spacing w:after="0" w:line="240" w:lineRule="auto"/>
        <w:jc w:val="center"/>
        <w:rPr>
          <w:rFonts w:ascii="Arial" w:eastAsia="Times New Roman" w:hAnsi="Arial" w:cs="Arial"/>
          <w:vanish/>
          <w:sz w:val="16"/>
          <w:szCs w:val="16"/>
        </w:rPr>
      </w:pPr>
      <w:r w:rsidRPr="00500923">
        <w:rPr>
          <w:rFonts w:ascii="Arial" w:eastAsia="Times New Roman" w:hAnsi="Arial" w:cs="Arial"/>
          <w:vanish/>
          <w:sz w:val="16"/>
          <w:szCs w:val="16"/>
        </w:rPr>
        <w:t>Top of Form</w:t>
      </w:r>
    </w:p>
    <w:p w:rsidR="00500923" w:rsidRPr="00500923" w:rsidRDefault="00500923" w:rsidP="00500923">
      <w:pPr>
        <w:spacing w:after="0" w:line="240" w:lineRule="auto"/>
        <w:rPr>
          <w:rFonts w:ascii="Times New Roman" w:eastAsia="Times New Roman" w:hAnsi="Times New Roman" w:cs="Times New Roman"/>
          <w:sz w:val="24"/>
          <w:szCs w:val="24"/>
        </w:rPr>
      </w:pPr>
      <w:r w:rsidRPr="0050092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in;height:18pt" o:ole="">
            <v:imagedata r:id="rId40" o:title=""/>
          </v:shape>
          <w:control r:id="rId41" w:name="DefaultOcxName" w:shapeid="_x0000_i1173"/>
        </w:object>
      </w:r>
      <w:r w:rsidRPr="00500923">
        <w:rPr>
          <w:rFonts w:ascii="Times New Roman" w:eastAsia="Times New Roman" w:hAnsi="Times New Roman" w:cs="Times New Roman"/>
          <w:sz w:val="24"/>
          <w:szCs w:val="24"/>
        </w:rPr>
        <w:object w:dxaOrig="225" w:dyaOrig="225">
          <v:shape id="_x0000_i1172" type="#_x0000_t75" style="width:1in;height:18pt" o:ole="">
            <v:imagedata r:id="rId40" o:title=""/>
          </v:shape>
          <w:control r:id="rId42" w:name="DefaultOcxName1" w:shapeid="_x0000_i1172"/>
        </w:object>
      </w:r>
      <w:r w:rsidRPr="00500923">
        <w:rPr>
          <w:rFonts w:ascii="Times New Roman" w:eastAsia="Times New Roman" w:hAnsi="Times New Roman" w:cs="Times New Roman"/>
          <w:sz w:val="24"/>
          <w:szCs w:val="24"/>
        </w:rPr>
        <w:object w:dxaOrig="225" w:dyaOrig="225">
          <v:shape id="_x0000_i1171" type="#_x0000_t75" style="width:1in;height:18pt" o:ole="">
            <v:imagedata r:id="rId43" o:title=""/>
          </v:shape>
          <w:control r:id="rId44" w:name="DefaultOcxName2" w:shapeid="_x0000_i1171"/>
        </w:object>
      </w:r>
      <w:r w:rsidRPr="00500923">
        <w:rPr>
          <w:rFonts w:ascii="Times New Roman" w:eastAsia="Times New Roman" w:hAnsi="Times New Roman" w:cs="Times New Roman"/>
          <w:sz w:val="24"/>
          <w:szCs w:val="24"/>
        </w:rPr>
        <w:object w:dxaOrig="225" w:dyaOrig="225">
          <v:shape id="_x0000_i1170" type="#_x0000_t75" style="width:1in;height:18pt" o:ole="">
            <v:imagedata r:id="rId45" o:title=""/>
          </v:shape>
          <w:control r:id="rId46" w:name="DefaultOcxName3" w:shapeid="_x0000_i1170"/>
        </w:object>
      </w:r>
      <w:r w:rsidRPr="00500923">
        <w:rPr>
          <w:rFonts w:ascii="Times New Roman" w:eastAsia="Times New Roman" w:hAnsi="Times New Roman" w:cs="Times New Roman"/>
          <w:sz w:val="24"/>
          <w:szCs w:val="24"/>
        </w:rPr>
        <w:object w:dxaOrig="225" w:dyaOrig="225">
          <v:shape id="_x0000_i1169" type="#_x0000_t75" style="width:1in;height:18pt" o:ole="">
            <v:imagedata r:id="rId47" o:title=""/>
          </v:shape>
          <w:control r:id="rId48" w:name="DefaultOcxName4" w:shapeid="_x0000_i1169"/>
        </w:object>
      </w:r>
      <w:r w:rsidRPr="00500923">
        <w:rPr>
          <w:rFonts w:ascii="Times New Roman" w:eastAsia="Times New Roman" w:hAnsi="Times New Roman" w:cs="Times New Roman"/>
          <w:sz w:val="24"/>
          <w:szCs w:val="24"/>
        </w:rPr>
        <w:object w:dxaOrig="225" w:dyaOrig="225">
          <v:shape id="_x0000_i1168" type="#_x0000_t75" style="width:1in;height:18pt" o:ole="">
            <v:imagedata r:id="rId49" o:title=""/>
          </v:shape>
          <w:control r:id="rId50" w:name="DefaultOcxName5" w:shapeid="_x0000_i1168"/>
        </w:object>
      </w:r>
      <w:r w:rsidRPr="00500923">
        <w:rPr>
          <w:rFonts w:ascii="Times New Roman" w:eastAsia="Times New Roman" w:hAnsi="Times New Roman" w:cs="Times New Roman"/>
          <w:sz w:val="24"/>
          <w:szCs w:val="24"/>
        </w:rPr>
        <w:object w:dxaOrig="225" w:dyaOrig="225">
          <v:shape id="_x0000_i1167" type="#_x0000_t75" style="width:1in;height:18pt" o:ole="">
            <v:imagedata r:id="rId51" o:title=""/>
          </v:shape>
          <w:control r:id="rId52" w:name="DefaultOcxName6" w:shapeid="_x0000_i1167"/>
        </w:object>
      </w:r>
      <w:r w:rsidRPr="00500923">
        <w:rPr>
          <w:rFonts w:ascii="Times New Roman" w:eastAsia="Times New Roman" w:hAnsi="Times New Roman" w:cs="Times New Roman"/>
          <w:sz w:val="24"/>
          <w:szCs w:val="24"/>
        </w:rPr>
        <w:object w:dxaOrig="225" w:dyaOrig="225">
          <v:shape id="_x0000_i1166" type="#_x0000_t75" style="width:1in;height:18pt" o:ole="">
            <v:imagedata r:id="rId53" o:title=""/>
          </v:shape>
          <w:control r:id="rId54" w:name="DefaultOcxName7" w:shapeid="_x0000_i1166"/>
        </w:object>
      </w:r>
      <w:r w:rsidRPr="00500923">
        <w:rPr>
          <w:rFonts w:ascii="Times New Roman" w:eastAsia="Times New Roman" w:hAnsi="Times New Roman" w:cs="Times New Roman"/>
          <w:sz w:val="24"/>
          <w:szCs w:val="24"/>
        </w:rPr>
        <w:object w:dxaOrig="225" w:dyaOrig="225">
          <v:shape id="_x0000_i1165" type="#_x0000_t75" style="width:1in;height:18pt" o:ole="">
            <v:imagedata r:id="rId55" o:title=""/>
          </v:shape>
          <w:control r:id="rId56" w:name="DefaultOcxName8" w:shapeid="_x0000_i1165"/>
        </w:object>
      </w:r>
      <w:r w:rsidRPr="00500923">
        <w:rPr>
          <w:rFonts w:ascii="Times New Roman" w:eastAsia="Times New Roman" w:hAnsi="Times New Roman" w:cs="Times New Roman"/>
          <w:sz w:val="24"/>
          <w:szCs w:val="24"/>
        </w:rPr>
        <w:object w:dxaOrig="225" w:dyaOrig="225">
          <v:shape id="_x0000_i1164" type="#_x0000_t75" style="width:1in;height:18pt" o:ole="">
            <v:imagedata r:id="rId57" o:title=""/>
          </v:shape>
          <w:control r:id="rId58" w:name="DefaultOcxName9" w:shapeid="_x0000_i1164"/>
        </w:object>
      </w:r>
      <w:r w:rsidRPr="00500923">
        <w:rPr>
          <w:rFonts w:ascii="Times New Roman" w:eastAsia="Times New Roman" w:hAnsi="Times New Roman" w:cs="Times New Roman"/>
          <w:sz w:val="24"/>
          <w:szCs w:val="24"/>
        </w:rPr>
        <w:object w:dxaOrig="225" w:dyaOrig="225">
          <v:shape id="_x0000_i1163" type="#_x0000_t75" style="width:1in;height:18pt" o:ole="">
            <v:imagedata r:id="rId59" o:title=""/>
          </v:shape>
          <w:control r:id="rId60" w:name="DefaultOcxName10" w:shapeid="_x0000_i1163"/>
        </w:object>
      </w:r>
      <w:r w:rsidRPr="00500923">
        <w:rPr>
          <w:rFonts w:ascii="Times New Roman" w:eastAsia="Times New Roman" w:hAnsi="Times New Roman" w:cs="Times New Roman"/>
          <w:sz w:val="24"/>
          <w:szCs w:val="24"/>
        </w:rPr>
        <w:object w:dxaOrig="225" w:dyaOrig="225">
          <v:shape id="_x0000_i1162" type="#_x0000_t75" style="width:1in;height:18pt" o:ole="">
            <v:imagedata r:id="rId61" o:title=""/>
          </v:shape>
          <w:control r:id="rId62" w:name="DefaultOcxName11" w:shapeid="_x0000_i1162"/>
        </w:object>
      </w:r>
      <w:r w:rsidRPr="00500923">
        <w:rPr>
          <w:rFonts w:ascii="Times New Roman" w:eastAsia="Times New Roman" w:hAnsi="Times New Roman" w:cs="Times New Roman"/>
          <w:sz w:val="24"/>
          <w:szCs w:val="24"/>
        </w:rPr>
        <w:object w:dxaOrig="225" w:dyaOrig="225">
          <v:shape id="_x0000_i1161" type="#_x0000_t75" style="width:1in;height:18pt" o:ole="">
            <v:imagedata r:id="rId63" o:title=""/>
          </v:shape>
          <w:control r:id="rId64" w:name="DefaultOcxName12" w:shapeid="_x0000_i1161"/>
        </w:object>
      </w:r>
      <w:r w:rsidRPr="00500923">
        <w:rPr>
          <w:rFonts w:ascii="Times New Roman" w:eastAsia="Times New Roman" w:hAnsi="Times New Roman" w:cs="Times New Roman"/>
          <w:sz w:val="24"/>
          <w:szCs w:val="24"/>
        </w:rPr>
        <w:object w:dxaOrig="225" w:dyaOrig="225">
          <v:shape id="_x0000_i1160" type="#_x0000_t75" style="width:1in;height:18pt" o:ole="">
            <v:imagedata r:id="rId65" o:title=""/>
          </v:shape>
          <w:control r:id="rId66" w:name="DefaultOcxName13" w:shapeid="_x0000_i1160"/>
        </w:object>
      </w:r>
      <w:r w:rsidRPr="00500923">
        <w:rPr>
          <w:rFonts w:ascii="Times New Roman" w:eastAsia="Times New Roman" w:hAnsi="Times New Roman" w:cs="Times New Roman"/>
          <w:sz w:val="24"/>
          <w:szCs w:val="24"/>
        </w:rPr>
        <w:object w:dxaOrig="225" w:dyaOrig="225">
          <v:shape id="_x0000_i1159" type="#_x0000_t75" style="width:1in;height:18pt" o:ole="">
            <v:imagedata r:id="rId40" o:title=""/>
          </v:shape>
          <w:control r:id="rId67" w:name="DefaultOcxName14" w:shapeid="_x0000_i1159"/>
        </w:object>
      </w:r>
      <w:r w:rsidRPr="00500923">
        <w:rPr>
          <w:rFonts w:ascii="Times New Roman" w:eastAsia="Times New Roman" w:hAnsi="Times New Roman" w:cs="Times New Roman"/>
          <w:sz w:val="24"/>
          <w:szCs w:val="24"/>
        </w:rPr>
        <w:object w:dxaOrig="225" w:dyaOrig="225">
          <v:shape id="_x0000_i1158" type="#_x0000_t75" style="width:1in;height:18pt" o:ole="">
            <v:imagedata r:id="rId68" o:title=""/>
          </v:shape>
          <w:control r:id="rId69" w:name="DefaultOcxName15" w:shapeid="_x0000_i1158"/>
        </w:object>
      </w:r>
      <w:r w:rsidRPr="00500923">
        <w:rPr>
          <w:rFonts w:ascii="Times New Roman" w:eastAsia="Times New Roman" w:hAnsi="Times New Roman" w:cs="Times New Roman"/>
          <w:sz w:val="24"/>
          <w:szCs w:val="24"/>
        </w:rPr>
        <w:object w:dxaOrig="225" w:dyaOrig="225">
          <v:shape id="_x0000_i1157" type="#_x0000_t75" style="width:1in;height:18pt" o:ole="">
            <v:imagedata r:id="rId70" o:title=""/>
          </v:shape>
          <w:control r:id="rId71" w:name="DefaultOcxName16" w:shapeid="_x0000_i1157"/>
        </w:object>
      </w:r>
      <w:r w:rsidRPr="00500923">
        <w:rPr>
          <w:rFonts w:ascii="Times New Roman" w:eastAsia="Times New Roman" w:hAnsi="Times New Roman" w:cs="Times New Roman"/>
          <w:sz w:val="24"/>
          <w:szCs w:val="24"/>
        </w:rPr>
        <w:object w:dxaOrig="225" w:dyaOrig="225">
          <v:shape id="_x0000_i1156" type="#_x0000_t75" style="width:1in;height:18pt" o:ole="">
            <v:imagedata r:id="rId72" o:title=""/>
          </v:shape>
          <w:control r:id="rId73" w:name="DefaultOcxName17" w:shapeid="_x0000_i1156"/>
        </w:object>
      </w:r>
      <w:r w:rsidRPr="00500923">
        <w:rPr>
          <w:rFonts w:ascii="Times New Roman" w:eastAsia="Times New Roman" w:hAnsi="Times New Roman" w:cs="Times New Roman"/>
          <w:sz w:val="24"/>
          <w:szCs w:val="24"/>
        </w:rPr>
        <w:object w:dxaOrig="225" w:dyaOrig="225">
          <v:shape id="_x0000_i1155" type="#_x0000_t75" style="width:1in;height:18pt" o:ole="">
            <v:imagedata r:id="rId74" o:title=""/>
          </v:shape>
          <w:control r:id="rId75" w:name="DefaultOcxName18" w:shapeid="_x0000_i1155"/>
        </w:object>
      </w:r>
      <w:r w:rsidRPr="00500923">
        <w:rPr>
          <w:rFonts w:ascii="Times New Roman" w:eastAsia="Times New Roman" w:hAnsi="Times New Roman" w:cs="Times New Roman"/>
          <w:sz w:val="24"/>
          <w:szCs w:val="24"/>
        </w:rPr>
        <w:object w:dxaOrig="225" w:dyaOrig="225">
          <v:shape id="_x0000_i1154" type="#_x0000_t75" style="width:1in;height:18pt" o:ole="">
            <v:imagedata r:id="rId76" o:title=""/>
          </v:shape>
          <w:control r:id="rId77" w:name="DefaultOcxName19" w:shapeid="_x0000_i1154"/>
        </w:object>
      </w:r>
      <w:r w:rsidRPr="00500923">
        <w:rPr>
          <w:rFonts w:ascii="Times New Roman" w:eastAsia="Times New Roman" w:hAnsi="Times New Roman" w:cs="Times New Roman"/>
          <w:sz w:val="24"/>
          <w:szCs w:val="24"/>
        </w:rPr>
        <w:object w:dxaOrig="225" w:dyaOrig="225">
          <v:shape id="_x0000_i1153" type="#_x0000_t75" style="width:1in;height:18pt" o:ole="">
            <v:imagedata r:id="rId78" o:title=""/>
          </v:shape>
          <w:control r:id="rId79" w:name="DefaultOcxName20" w:shapeid="_x0000_i1153"/>
        </w:object>
      </w:r>
    </w:p>
    <w:p w:rsidR="00500923" w:rsidRPr="00500923" w:rsidRDefault="00500923" w:rsidP="00500923">
      <w:pPr>
        <w:pBdr>
          <w:top w:val="single" w:sz="6" w:space="1" w:color="auto"/>
        </w:pBdr>
        <w:spacing w:after="0" w:line="240" w:lineRule="auto"/>
        <w:jc w:val="center"/>
        <w:rPr>
          <w:rFonts w:ascii="Arial" w:eastAsia="Times New Roman" w:hAnsi="Arial" w:cs="Arial"/>
          <w:vanish/>
          <w:sz w:val="16"/>
          <w:szCs w:val="16"/>
        </w:rPr>
      </w:pPr>
      <w:r w:rsidRPr="00500923">
        <w:rPr>
          <w:rFonts w:ascii="Arial" w:eastAsia="Times New Roman" w:hAnsi="Arial" w:cs="Arial"/>
          <w:vanish/>
          <w:sz w:val="16"/>
          <w:szCs w:val="16"/>
        </w:rPr>
        <w:t>Bottom of Form</w:t>
      </w:r>
    </w:p>
    <w:p w:rsidR="00500923" w:rsidRPr="00500923" w:rsidRDefault="00500923" w:rsidP="00500923">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tblPr>
      <w:tblGrid>
        <w:gridCol w:w="9360"/>
      </w:tblGrid>
      <w:tr w:rsidR="00500923" w:rsidRPr="00500923" w:rsidTr="00500923">
        <w:trPr>
          <w:tblCellSpacing w:w="0" w:type="dxa"/>
        </w:trPr>
        <w:tc>
          <w:tcPr>
            <w:tcW w:w="0" w:type="auto"/>
            <w:shd w:val="clear" w:color="auto" w:fill="EBEBD8"/>
            <w:vAlign w:val="center"/>
            <w:hideMark/>
          </w:tcPr>
          <w:p w:rsidR="00500923" w:rsidRPr="00500923" w:rsidRDefault="00500923" w:rsidP="00500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60" cy="10160"/>
                  <wp:effectExtent l="0" t="0" r="0" b="0"/>
                  <wp:docPr id="38" name="Picture 38"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lexis.com/ri/s.gif"/>
                          <pic:cNvPicPr>
                            <a:picLocks noChangeAspect="1" noChangeArrowheads="1"/>
                          </pic:cNvPicPr>
                        </pic:nvPicPr>
                        <pic:blipFill>
                          <a:blip r:embed="rId80"/>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r w:rsidR="00500923" w:rsidRPr="00500923" w:rsidTr="00500923">
        <w:trPr>
          <w:trHeight w:val="75"/>
          <w:tblCellSpacing w:w="0" w:type="dxa"/>
        </w:trPr>
        <w:tc>
          <w:tcPr>
            <w:tcW w:w="0" w:type="auto"/>
            <w:vAlign w:val="center"/>
            <w:hideMark/>
          </w:tcPr>
          <w:p w:rsidR="00500923" w:rsidRPr="00500923" w:rsidRDefault="00500923" w:rsidP="00500923">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60" cy="10160"/>
                  <wp:effectExtent l="0" t="0" r="0" b="0"/>
                  <wp:docPr id="39" name="Picture 39"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lexis.com/ri/s.gif"/>
                          <pic:cNvPicPr>
                            <a:picLocks noChangeAspect="1" noChangeArrowheads="1"/>
                          </pic:cNvPicPr>
                        </pic:nvPicPr>
                        <pic:blipFill>
                          <a:blip r:embed="rId80"/>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bl>
    <w:p w:rsidR="00500923" w:rsidRPr="00500923" w:rsidRDefault="00500923" w:rsidP="0050092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301"/>
        <w:gridCol w:w="981"/>
        <w:gridCol w:w="8078"/>
      </w:tblGrid>
      <w:tr w:rsidR="00500923" w:rsidRPr="00500923" w:rsidTr="00500923">
        <w:trPr>
          <w:tblCellSpacing w:w="0" w:type="dxa"/>
        </w:trPr>
        <w:tc>
          <w:tcPr>
            <w:tcW w:w="300" w:type="dxa"/>
            <w:vAlign w:val="center"/>
            <w:hideMark/>
          </w:tcPr>
          <w:p w:rsidR="00500923" w:rsidRPr="00500923" w:rsidRDefault="00500923" w:rsidP="00500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10160"/>
                  <wp:effectExtent l="0" t="0" r="0" b="0"/>
                  <wp:docPr id="40" name="Picture 40"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lexis.com/ri/s.gif"/>
                          <pic:cNvPicPr>
                            <a:picLocks noChangeAspect="1" noChangeArrowheads="1"/>
                          </pic:cNvPicPr>
                        </pic:nvPicPr>
                        <pic:blipFill>
                          <a:blip r:embed="rId80"/>
                          <a:srcRect/>
                          <a:stretch>
                            <a:fillRect/>
                          </a:stretch>
                        </pic:blipFill>
                        <pic:spPr bwMode="auto">
                          <a:xfrm>
                            <a:off x="0" y="0"/>
                            <a:ext cx="191135" cy="10160"/>
                          </a:xfrm>
                          <a:prstGeom prst="rect">
                            <a:avLst/>
                          </a:prstGeom>
                          <a:noFill/>
                          <a:ln w="9525">
                            <a:noFill/>
                            <a:miter lim="800000"/>
                            <a:headEnd/>
                            <a:tailEnd/>
                          </a:ln>
                        </pic:spPr>
                      </pic:pic>
                    </a:graphicData>
                  </a:graphic>
                </wp:inline>
              </w:drawing>
            </w:r>
          </w:p>
        </w:tc>
        <w:tc>
          <w:tcPr>
            <w:tcW w:w="50" w:type="pct"/>
            <w:noWrap/>
            <w:hideMark/>
          </w:tcPr>
          <w:p w:rsidR="00500923" w:rsidRPr="00500923" w:rsidRDefault="00500923" w:rsidP="00500923">
            <w:pPr>
              <w:spacing w:after="0" w:line="240" w:lineRule="auto"/>
              <w:jc w:val="right"/>
              <w:rPr>
                <w:rFonts w:ascii="Arial" w:eastAsia="Times New Roman" w:hAnsi="Arial" w:cs="Arial"/>
                <w:sz w:val="18"/>
                <w:szCs w:val="18"/>
              </w:rPr>
            </w:pPr>
            <w:r w:rsidRPr="00500923">
              <w:rPr>
                <w:rFonts w:ascii="Arial" w:eastAsia="Times New Roman" w:hAnsi="Arial" w:cs="Arial"/>
                <w:sz w:val="18"/>
                <w:szCs w:val="18"/>
              </w:rPr>
              <w:t>Service:  </w:t>
            </w:r>
          </w:p>
        </w:tc>
        <w:tc>
          <w:tcPr>
            <w:tcW w:w="4950" w:type="pct"/>
            <w:hideMark/>
          </w:tcPr>
          <w:p w:rsidR="00500923" w:rsidRPr="00500923" w:rsidRDefault="00500923" w:rsidP="00500923">
            <w:pPr>
              <w:spacing w:after="0" w:line="240" w:lineRule="auto"/>
              <w:rPr>
                <w:rFonts w:ascii="Arial" w:eastAsia="Times New Roman" w:hAnsi="Arial" w:cs="Arial"/>
                <w:sz w:val="18"/>
                <w:szCs w:val="18"/>
              </w:rPr>
            </w:pPr>
            <w:r w:rsidRPr="00500923">
              <w:rPr>
                <w:rFonts w:ascii="Arial" w:eastAsia="Times New Roman" w:hAnsi="Arial" w:cs="Arial"/>
                <w:b/>
                <w:bCs/>
                <w:sz w:val="18"/>
                <w:szCs w:val="18"/>
              </w:rPr>
              <w:t>Get by LEXSEE®</w:t>
            </w:r>
          </w:p>
        </w:tc>
      </w:tr>
      <w:tr w:rsidR="00500923" w:rsidRPr="00500923" w:rsidTr="00500923">
        <w:trPr>
          <w:tblCellSpacing w:w="0" w:type="dxa"/>
        </w:trPr>
        <w:tc>
          <w:tcPr>
            <w:tcW w:w="300" w:type="dxa"/>
            <w:vAlign w:val="center"/>
            <w:hideMark/>
          </w:tcPr>
          <w:p w:rsidR="00500923" w:rsidRPr="00500923" w:rsidRDefault="00500923" w:rsidP="00500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10160"/>
                  <wp:effectExtent l="0" t="0" r="0" b="0"/>
                  <wp:docPr id="41" name="Picture 41"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lexis.com/ri/s.gif"/>
                          <pic:cNvPicPr>
                            <a:picLocks noChangeAspect="1" noChangeArrowheads="1"/>
                          </pic:cNvPicPr>
                        </pic:nvPicPr>
                        <pic:blipFill>
                          <a:blip r:embed="rId80"/>
                          <a:srcRect/>
                          <a:stretch>
                            <a:fillRect/>
                          </a:stretch>
                        </pic:blipFill>
                        <pic:spPr bwMode="auto">
                          <a:xfrm>
                            <a:off x="0" y="0"/>
                            <a:ext cx="191135" cy="10160"/>
                          </a:xfrm>
                          <a:prstGeom prst="rect">
                            <a:avLst/>
                          </a:prstGeom>
                          <a:noFill/>
                          <a:ln w="9525">
                            <a:noFill/>
                            <a:miter lim="800000"/>
                            <a:headEnd/>
                            <a:tailEnd/>
                          </a:ln>
                        </pic:spPr>
                      </pic:pic>
                    </a:graphicData>
                  </a:graphic>
                </wp:inline>
              </w:drawing>
            </w:r>
          </w:p>
        </w:tc>
        <w:tc>
          <w:tcPr>
            <w:tcW w:w="50" w:type="pct"/>
            <w:noWrap/>
            <w:hideMark/>
          </w:tcPr>
          <w:p w:rsidR="00500923" w:rsidRPr="00500923" w:rsidRDefault="00500923" w:rsidP="00500923">
            <w:pPr>
              <w:spacing w:after="0" w:line="240" w:lineRule="auto"/>
              <w:jc w:val="right"/>
              <w:rPr>
                <w:rFonts w:ascii="Arial" w:eastAsia="Times New Roman" w:hAnsi="Arial" w:cs="Arial"/>
                <w:sz w:val="18"/>
                <w:szCs w:val="18"/>
              </w:rPr>
            </w:pPr>
            <w:r w:rsidRPr="00500923">
              <w:rPr>
                <w:rFonts w:ascii="Arial" w:eastAsia="Times New Roman" w:hAnsi="Arial" w:cs="Arial"/>
                <w:sz w:val="18"/>
                <w:szCs w:val="18"/>
              </w:rPr>
              <w:t>Citation:  </w:t>
            </w:r>
          </w:p>
        </w:tc>
        <w:tc>
          <w:tcPr>
            <w:tcW w:w="4950" w:type="pct"/>
            <w:hideMark/>
          </w:tcPr>
          <w:p w:rsidR="00500923" w:rsidRPr="00500923" w:rsidRDefault="00500923" w:rsidP="00500923">
            <w:pPr>
              <w:spacing w:after="0" w:line="240" w:lineRule="auto"/>
              <w:rPr>
                <w:rFonts w:ascii="Arial" w:eastAsia="Times New Roman" w:hAnsi="Arial" w:cs="Arial"/>
                <w:sz w:val="18"/>
                <w:szCs w:val="18"/>
              </w:rPr>
            </w:pPr>
            <w:r w:rsidRPr="00500923">
              <w:rPr>
                <w:rFonts w:ascii="Arial" w:eastAsia="Times New Roman" w:hAnsi="Arial" w:cs="Arial"/>
                <w:b/>
                <w:bCs/>
                <w:sz w:val="18"/>
                <w:szCs w:val="18"/>
              </w:rPr>
              <w:t>2010 Emerging Issues 5281</w:t>
            </w:r>
          </w:p>
        </w:tc>
      </w:tr>
      <w:tr w:rsidR="00500923" w:rsidRPr="00500923" w:rsidTr="00500923">
        <w:trPr>
          <w:tblCellSpacing w:w="0" w:type="dxa"/>
        </w:trPr>
        <w:tc>
          <w:tcPr>
            <w:tcW w:w="300" w:type="dxa"/>
            <w:vAlign w:val="center"/>
            <w:hideMark/>
          </w:tcPr>
          <w:p w:rsidR="00500923" w:rsidRPr="00500923" w:rsidRDefault="00500923" w:rsidP="00500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10160"/>
                  <wp:effectExtent l="0" t="0" r="0" b="0"/>
                  <wp:docPr id="42" name="Picture 42"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lexis.com/ri/s.gif"/>
                          <pic:cNvPicPr>
                            <a:picLocks noChangeAspect="1" noChangeArrowheads="1"/>
                          </pic:cNvPicPr>
                        </pic:nvPicPr>
                        <pic:blipFill>
                          <a:blip r:embed="rId80"/>
                          <a:srcRect/>
                          <a:stretch>
                            <a:fillRect/>
                          </a:stretch>
                        </pic:blipFill>
                        <pic:spPr bwMode="auto">
                          <a:xfrm>
                            <a:off x="0" y="0"/>
                            <a:ext cx="191135" cy="10160"/>
                          </a:xfrm>
                          <a:prstGeom prst="rect">
                            <a:avLst/>
                          </a:prstGeom>
                          <a:noFill/>
                          <a:ln w="9525">
                            <a:noFill/>
                            <a:miter lim="800000"/>
                            <a:headEnd/>
                            <a:tailEnd/>
                          </a:ln>
                        </pic:spPr>
                      </pic:pic>
                    </a:graphicData>
                  </a:graphic>
                </wp:inline>
              </w:drawing>
            </w:r>
          </w:p>
        </w:tc>
        <w:tc>
          <w:tcPr>
            <w:tcW w:w="50" w:type="pct"/>
            <w:noWrap/>
            <w:hideMark/>
          </w:tcPr>
          <w:p w:rsidR="00500923" w:rsidRPr="00500923" w:rsidRDefault="00500923" w:rsidP="00500923">
            <w:pPr>
              <w:spacing w:after="0" w:line="240" w:lineRule="auto"/>
              <w:jc w:val="right"/>
              <w:rPr>
                <w:rFonts w:ascii="Arial" w:eastAsia="Times New Roman" w:hAnsi="Arial" w:cs="Arial"/>
                <w:sz w:val="18"/>
                <w:szCs w:val="18"/>
              </w:rPr>
            </w:pPr>
            <w:r w:rsidRPr="00500923">
              <w:rPr>
                <w:rFonts w:ascii="Arial" w:eastAsia="Times New Roman" w:hAnsi="Arial" w:cs="Arial"/>
                <w:sz w:val="18"/>
                <w:szCs w:val="18"/>
              </w:rPr>
              <w:t>View:  </w:t>
            </w:r>
          </w:p>
        </w:tc>
        <w:tc>
          <w:tcPr>
            <w:tcW w:w="4950" w:type="pct"/>
            <w:hideMark/>
          </w:tcPr>
          <w:p w:rsidR="00500923" w:rsidRPr="00500923" w:rsidRDefault="00500923" w:rsidP="00500923">
            <w:pPr>
              <w:spacing w:after="0" w:line="240" w:lineRule="auto"/>
              <w:rPr>
                <w:rFonts w:ascii="Arial" w:eastAsia="Times New Roman" w:hAnsi="Arial" w:cs="Arial"/>
                <w:sz w:val="18"/>
                <w:szCs w:val="18"/>
              </w:rPr>
            </w:pPr>
            <w:r w:rsidRPr="00500923">
              <w:rPr>
                <w:rFonts w:ascii="Arial" w:eastAsia="Times New Roman" w:hAnsi="Arial" w:cs="Arial"/>
                <w:sz w:val="18"/>
                <w:szCs w:val="18"/>
              </w:rPr>
              <w:t>Full</w:t>
            </w:r>
          </w:p>
        </w:tc>
      </w:tr>
      <w:tr w:rsidR="00500923" w:rsidRPr="00500923" w:rsidTr="00500923">
        <w:trPr>
          <w:tblCellSpacing w:w="0" w:type="dxa"/>
        </w:trPr>
        <w:tc>
          <w:tcPr>
            <w:tcW w:w="300" w:type="dxa"/>
            <w:vAlign w:val="center"/>
            <w:hideMark/>
          </w:tcPr>
          <w:p w:rsidR="00500923" w:rsidRPr="00500923" w:rsidRDefault="00500923" w:rsidP="00500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10160"/>
                  <wp:effectExtent l="0" t="0" r="0" b="0"/>
                  <wp:docPr id="43" name="Picture 43" descr="https://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lexis.com/ri/s.gif"/>
                          <pic:cNvPicPr>
                            <a:picLocks noChangeAspect="1" noChangeArrowheads="1"/>
                          </pic:cNvPicPr>
                        </pic:nvPicPr>
                        <pic:blipFill>
                          <a:blip r:embed="rId80"/>
                          <a:srcRect/>
                          <a:stretch>
                            <a:fillRect/>
                          </a:stretch>
                        </pic:blipFill>
                        <pic:spPr bwMode="auto">
                          <a:xfrm>
                            <a:off x="0" y="0"/>
                            <a:ext cx="191135" cy="10160"/>
                          </a:xfrm>
                          <a:prstGeom prst="rect">
                            <a:avLst/>
                          </a:prstGeom>
                          <a:noFill/>
                          <a:ln w="9525">
                            <a:noFill/>
                            <a:miter lim="800000"/>
                            <a:headEnd/>
                            <a:tailEnd/>
                          </a:ln>
                        </pic:spPr>
                      </pic:pic>
                    </a:graphicData>
                  </a:graphic>
                </wp:inline>
              </w:drawing>
            </w:r>
          </w:p>
        </w:tc>
        <w:tc>
          <w:tcPr>
            <w:tcW w:w="50" w:type="pct"/>
            <w:noWrap/>
            <w:hideMark/>
          </w:tcPr>
          <w:p w:rsidR="00500923" w:rsidRPr="00500923" w:rsidRDefault="00500923" w:rsidP="00500923">
            <w:pPr>
              <w:spacing w:after="0" w:line="240" w:lineRule="auto"/>
              <w:jc w:val="right"/>
              <w:rPr>
                <w:rFonts w:ascii="Arial" w:eastAsia="Times New Roman" w:hAnsi="Arial" w:cs="Arial"/>
                <w:sz w:val="18"/>
                <w:szCs w:val="18"/>
              </w:rPr>
            </w:pPr>
            <w:r w:rsidRPr="00500923">
              <w:rPr>
                <w:rFonts w:ascii="Arial" w:eastAsia="Times New Roman" w:hAnsi="Arial" w:cs="Arial"/>
                <w:sz w:val="18"/>
                <w:szCs w:val="18"/>
              </w:rPr>
              <w:t>Date/Time:  </w:t>
            </w:r>
          </w:p>
        </w:tc>
        <w:tc>
          <w:tcPr>
            <w:tcW w:w="4950" w:type="pct"/>
            <w:hideMark/>
          </w:tcPr>
          <w:p w:rsidR="00500923" w:rsidRPr="00500923" w:rsidRDefault="00500923" w:rsidP="00500923">
            <w:pPr>
              <w:spacing w:after="0" w:line="240" w:lineRule="auto"/>
              <w:rPr>
                <w:rFonts w:ascii="Arial" w:eastAsia="Times New Roman" w:hAnsi="Arial" w:cs="Arial"/>
                <w:sz w:val="18"/>
                <w:szCs w:val="18"/>
              </w:rPr>
            </w:pPr>
            <w:r w:rsidRPr="00500923">
              <w:rPr>
                <w:rFonts w:ascii="Arial" w:eastAsia="Times New Roman" w:hAnsi="Arial" w:cs="Arial"/>
                <w:sz w:val="18"/>
                <w:szCs w:val="18"/>
              </w:rPr>
              <w:t>Wednesday, September 15, 2010 - 4:53 PM EDT</w:t>
            </w:r>
          </w:p>
        </w:tc>
      </w:tr>
    </w:tbl>
    <w:p w:rsidR="00307B1C" w:rsidRDefault="00307B1C"/>
    <w:sectPr w:rsidR="00307B1C" w:rsidSect="00307B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00923"/>
    <w:rsid w:val="00241077"/>
    <w:rsid w:val="00307B1C"/>
    <w:rsid w:val="003E05E4"/>
    <w:rsid w:val="00500923"/>
    <w:rsid w:val="00507685"/>
    <w:rsid w:val="00521D3E"/>
    <w:rsid w:val="006028E2"/>
    <w:rsid w:val="008F4227"/>
    <w:rsid w:val="009471E1"/>
    <w:rsid w:val="00C068E6"/>
    <w:rsid w:val="00C73E5D"/>
    <w:rsid w:val="00D07EBD"/>
    <w:rsid w:val="00D16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0923"/>
    <w:rPr>
      <w:color w:val="0000FF"/>
      <w:u w:val="single"/>
    </w:rPr>
  </w:style>
  <w:style w:type="paragraph" w:styleId="z-TopofForm">
    <w:name w:val="HTML Top of Form"/>
    <w:basedOn w:val="Normal"/>
    <w:next w:val="Normal"/>
    <w:link w:val="z-TopofFormChar"/>
    <w:hidden/>
    <w:uiPriority w:val="99"/>
    <w:semiHidden/>
    <w:unhideWhenUsed/>
    <w:rsid w:val="005009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92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9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92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0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9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820073">
      <w:bodyDiv w:val="1"/>
      <w:marLeft w:val="0"/>
      <w:marRight w:val="0"/>
      <w:marTop w:val="0"/>
      <w:marBottom w:val="0"/>
      <w:divBdr>
        <w:top w:val="none" w:sz="0" w:space="0" w:color="auto"/>
        <w:left w:val="none" w:sz="0" w:space="0" w:color="auto"/>
        <w:bottom w:val="none" w:sz="0" w:space="0" w:color="auto"/>
        <w:right w:val="none" w:sz="0" w:space="0" w:color="auto"/>
      </w:divBdr>
      <w:divsChild>
        <w:div w:id="203297797">
          <w:marLeft w:val="316"/>
          <w:marRight w:val="31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pi.com/Top_News/US/2010/07/16/Oil-rig-news-good-news-on-London-markets/UPI-43731279279054" TargetMode="External"/><Relationship Id="rId18" Type="http://schemas.openxmlformats.org/officeDocument/2006/relationships/hyperlink" Target="https://www.lexis.com/research/retrieve?_m=dd6457b5215e1b48510daf5a8898f9e9&amp;_browseType=TEXTONLY&amp;docnum=1&amp;_fmtstr=FULL&amp;_startdoc=1&amp;wchp=dGLzVlb-zSkAl&amp;_md5=f075cd1349b79a979be0e40ee000f4e1#r7" TargetMode="External"/><Relationship Id="rId26" Type="http://schemas.openxmlformats.org/officeDocument/2006/relationships/hyperlink" Target="https://www.lexis.com/research/retrieve?_m=dd6457b5215e1b48510daf5a8898f9e9&amp;_browseType=TEXTONLY&amp;docnum=1&amp;_fmtstr=FULL&amp;_startdoc=1&amp;wchp=dGLzVlb-zSkAl&amp;_md5=f075cd1349b79a979be0e40ee000f4e1#r11" TargetMode="External"/><Relationship Id="rId39" Type="http://schemas.openxmlformats.org/officeDocument/2006/relationships/hyperlink" Target="https://www.lexis.com/research/retrieve?_m=dd6457b5215e1b48510daf5a8898f9e9&amp;_browseType=TEXTONLY&amp;docnum=1&amp;_fmtstr=FULL&amp;_startdoc=1&amp;wchp=dGLzVlb-zSkAl&amp;_md5=f075cd1349b79a979be0e40ee000f4e1#r23" TargetMode="External"/><Relationship Id="rId21" Type="http://schemas.openxmlformats.org/officeDocument/2006/relationships/hyperlink" Target="http://money.cnn.com/2010/07/19/smallbusiness/bp_mobile_claim_centers/index.htm" TargetMode="External"/><Relationship Id="rId34" Type="http://schemas.openxmlformats.org/officeDocument/2006/relationships/hyperlink" Target="https://www.lexis.com/research/retrieve?_m=dd6457b5215e1b48510daf5a8898f9e9&amp;_browseType=TEXTONLY&amp;docnum=1&amp;_fmtstr=FULL&amp;_startdoc=1&amp;wchp=dGLzVlb-zSkAl&amp;_md5=f075cd1349b79a979be0e40ee000f4e1#r18" TargetMode="External"/><Relationship Id="rId42" Type="http://schemas.openxmlformats.org/officeDocument/2006/relationships/control" Target="activeX/activeX2.xml"/><Relationship Id="rId47" Type="http://schemas.openxmlformats.org/officeDocument/2006/relationships/image" Target="media/image6.wmf"/><Relationship Id="rId50" Type="http://schemas.openxmlformats.org/officeDocument/2006/relationships/control" Target="activeX/activeX6.xml"/><Relationship Id="rId55" Type="http://schemas.openxmlformats.org/officeDocument/2006/relationships/image" Target="media/image10.wmf"/><Relationship Id="rId63" Type="http://schemas.openxmlformats.org/officeDocument/2006/relationships/image" Target="media/image14.wmf"/><Relationship Id="rId68" Type="http://schemas.openxmlformats.org/officeDocument/2006/relationships/image" Target="media/image16.wmf"/><Relationship Id="rId76" Type="http://schemas.openxmlformats.org/officeDocument/2006/relationships/image" Target="media/image20.wmf"/><Relationship Id="rId7" Type="http://schemas.openxmlformats.org/officeDocument/2006/relationships/hyperlink" Target="http://latimesblogs.latimes.com/greenspace/2010/04/gulf-oil-spill-the-halliburton-connection.html" TargetMode="External"/><Relationship Id="rId71" Type="http://schemas.openxmlformats.org/officeDocument/2006/relationships/control" Target="activeX/activeX17.xml"/><Relationship Id="rId2" Type="http://schemas.openxmlformats.org/officeDocument/2006/relationships/settings" Target="settings.xml"/><Relationship Id="rId16" Type="http://schemas.openxmlformats.org/officeDocument/2006/relationships/hyperlink" Target="https://www.lexis.com/research/retrieve?_m=dd6457b5215e1b48510daf5a8898f9e9&amp;_browseType=TEXTONLY&amp;docnum=1&amp;_fmtstr=FULL&amp;_startdoc=1&amp;wchp=dGLzVlb-zSkAl&amp;_md5=f075cd1349b79a979be0e40ee000f4e1#r6" TargetMode="External"/><Relationship Id="rId29" Type="http://schemas.openxmlformats.org/officeDocument/2006/relationships/hyperlink" Target="http://www.mcclatchydc.com/2010/05/26/94884/bp-could-be-held-criminally-liable.html" TargetMode="External"/><Relationship Id="rId11" Type="http://schemas.openxmlformats.org/officeDocument/2006/relationships/hyperlink" Target="http://www.cnn.com/2010/US/08/03/gulf.oil.largest.spill/index.html" TargetMode="External"/><Relationship Id="rId24" Type="http://schemas.openxmlformats.org/officeDocument/2006/relationships/hyperlink" Target="https://www.lexis.com/research/retrieve?_m=dd6457b5215e1b48510daf5a8898f9e9&amp;_browseType=TEXTONLY&amp;docnum=1&amp;_fmtstr=FULL&amp;_startdoc=1&amp;wchp=dGLzVlb-zSkAl&amp;_md5=f075cd1349b79a979be0e40ee000f4e1#r10" TargetMode="External"/><Relationship Id="rId32" Type="http://schemas.openxmlformats.org/officeDocument/2006/relationships/hyperlink" Target="https://www.lexis.com/research/retrieve?_m=dd6457b5215e1b48510daf5a8898f9e9&amp;_browseType=TEXTONLY&amp;docnum=1&amp;_fmtstr=FULL&amp;_startdoc=1&amp;wchp=dGLzVlb-zSkAl&amp;_md5=f075cd1349b79a979be0e40ee000f4e1#r16" TargetMode="External"/><Relationship Id="rId37" Type="http://schemas.openxmlformats.org/officeDocument/2006/relationships/hyperlink" Target="https://www.lexis.com/research/retrieve?_m=dd6457b5215e1b48510daf5a8898f9e9&amp;_browseType=TEXTONLY&amp;docnum=1&amp;_fmtstr=FULL&amp;_startdoc=1&amp;wchp=dGLzVlb-zSkAl&amp;_md5=f075cd1349b79a979be0e40ee000f4e1#r21" TargetMode="External"/><Relationship Id="rId40" Type="http://schemas.openxmlformats.org/officeDocument/2006/relationships/image" Target="media/image3.wmf"/><Relationship Id="rId45" Type="http://schemas.openxmlformats.org/officeDocument/2006/relationships/image" Target="media/image5.wmf"/><Relationship Id="rId53" Type="http://schemas.openxmlformats.org/officeDocument/2006/relationships/image" Target="media/image9.wmf"/><Relationship Id="rId58" Type="http://schemas.openxmlformats.org/officeDocument/2006/relationships/control" Target="activeX/activeX10.xml"/><Relationship Id="rId66" Type="http://schemas.openxmlformats.org/officeDocument/2006/relationships/control" Target="activeX/activeX14.xml"/><Relationship Id="rId74" Type="http://schemas.openxmlformats.org/officeDocument/2006/relationships/image" Target="media/image19.wmf"/><Relationship Id="rId79" Type="http://schemas.openxmlformats.org/officeDocument/2006/relationships/control" Target="activeX/activeX21.xml"/><Relationship Id="rId5" Type="http://schemas.openxmlformats.org/officeDocument/2006/relationships/hyperlink" Target="https://www.lexis.com/research/retrieve?_m=dd6457b5215e1b48510daf5a8898f9e9&amp;_browseType=TEXTONLY&amp;docnum=1&amp;_fmtstr=FULL&amp;_startdoc=1&amp;wchp=dGLzVlb-zSkAl&amp;_md5=f075cd1349b79a979be0e40ee000f4e1#r1" TargetMode="External"/><Relationship Id="rId61" Type="http://schemas.openxmlformats.org/officeDocument/2006/relationships/image" Target="media/image13.wmf"/><Relationship Id="rId82" Type="http://schemas.openxmlformats.org/officeDocument/2006/relationships/theme" Target="theme/theme1.xml"/><Relationship Id="rId10" Type="http://schemas.openxmlformats.org/officeDocument/2006/relationships/hyperlink" Target="https://www.lexis.com/research/retrieve?_m=dd6457b5215e1b48510daf5a8898f9e9&amp;_browseType=TEXTONLY&amp;docnum=1&amp;_fmtstr=FULL&amp;_startdoc=1&amp;wchp=dGLzVlb-zSkAl&amp;_md5=f075cd1349b79a979be0e40ee000f4e1#r3" TargetMode="External"/><Relationship Id="rId19" Type="http://schemas.openxmlformats.org/officeDocument/2006/relationships/hyperlink" Target="http://www.dailypress.com/news/national/sns-bp-oil-plumes,0,5537415.story" TargetMode="External"/><Relationship Id="rId31" Type="http://schemas.openxmlformats.org/officeDocument/2006/relationships/hyperlink" Target="https://www.lexis.com/research/retrieve?_m=dd6457b5215e1b48510daf5a8898f9e9&amp;_browseType=TEXTONLY&amp;docnum=1&amp;_fmtstr=FULL&amp;_startdoc=1&amp;wchp=dGLzVlb-zSkAl&amp;_md5=f075cd1349b79a979be0e40ee000f4e1#r15" TargetMode="External"/><Relationship Id="rId44" Type="http://schemas.openxmlformats.org/officeDocument/2006/relationships/control" Target="activeX/activeX3.xml"/><Relationship Id="rId52" Type="http://schemas.openxmlformats.org/officeDocument/2006/relationships/control" Target="activeX/activeX7.xml"/><Relationship Id="rId60" Type="http://schemas.openxmlformats.org/officeDocument/2006/relationships/control" Target="activeX/activeX11.xml"/><Relationship Id="rId65" Type="http://schemas.openxmlformats.org/officeDocument/2006/relationships/image" Target="media/image15.wmf"/><Relationship Id="rId73" Type="http://schemas.openxmlformats.org/officeDocument/2006/relationships/control" Target="activeX/activeX18.xml"/><Relationship Id="rId78" Type="http://schemas.openxmlformats.org/officeDocument/2006/relationships/image" Target="media/image21.wmf"/><Relationship Id="rId8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goerie.com/apps/pbcs.dll/article?AID=/20100512/NEWS07/305129953/-1/RSS" TargetMode="External"/><Relationship Id="rId14" Type="http://schemas.openxmlformats.org/officeDocument/2006/relationships/hyperlink" Target="https://www.lexis.com/research/retrieve?_m=dd6457b5215e1b48510daf5a8898f9e9&amp;_browseType=TEXTONLY&amp;docnum=1&amp;_fmtstr=FULL&amp;_startdoc=1&amp;wchp=dGLzVlb-zSkAl&amp;_md5=f075cd1349b79a979be0e40ee000f4e1#r5" TargetMode="External"/><Relationship Id="rId22" Type="http://schemas.openxmlformats.org/officeDocument/2006/relationships/hyperlink" Target="https://www.lexis.com/research/retrieve?_m=dd6457b5215e1b48510daf5a8898f9e9&amp;_browseType=TEXTONLY&amp;docnum=1&amp;_fmtstr=FULL&amp;_startdoc=1&amp;wchp=dGLzVlb-zSkAl&amp;_md5=f075cd1349b79a979be0e40ee000f4e1#r9" TargetMode="External"/><Relationship Id="rId27" Type="http://schemas.openxmlformats.org/officeDocument/2006/relationships/hyperlink" Target="https://www.lexis.com/research/retrieve?_m=dd6457b5215e1b48510daf5a8898f9e9&amp;_browseType=TEXTONLY&amp;docnum=1&amp;_fmtstr=FULL&amp;_startdoc=1&amp;wchp=dGLzVlb-zSkAl&amp;_md5=f075cd1349b79a979be0e40ee000f4e1#r12" TargetMode="External"/><Relationship Id="rId30" Type="http://schemas.openxmlformats.org/officeDocument/2006/relationships/hyperlink" Target="https://www.lexis.com/research/retrieve?_m=dd6457b5215e1b48510daf5a8898f9e9&amp;_browseType=TEXTONLY&amp;docnum=1&amp;_fmtstr=FULL&amp;_startdoc=1&amp;wchp=dGLzVlb-zSkAl&amp;_md5=f075cd1349b79a979be0e40ee000f4e1#r14" TargetMode="External"/><Relationship Id="rId35" Type="http://schemas.openxmlformats.org/officeDocument/2006/relationships/hyperlink" Target="https://www.lexis.com/research/retrieve?_m=dd6457b5215e1b48510daf5a8898f9e9&amp;_browseType=TEXTONLY&amp;docnum=1&amp;_fmtstr=FULL&amp;_startdoc=1&amp;wchp=dGLzVlb-zSkAl&amp;_md5=f075cd1349b79a979be0e40ee000f4e1#r19" TargetMode="External"/><Relationship Id="rId43" Type="http://schemas.openxmlformats.org/officeDocument/2006/relationships/image" Target="media/image4.wmf"/><Relationship Id="rId48" Type="http://schemas.openxmlformats.org/officeDocument/2006/relationships/control" Target="activeX/activeX5.xml"/><Relationship Id="rId56" Type="http://schemas.openxmlformats.org/officeDocument/2006/relationships/control" Target="activeX/activeX9.xml"/><Relationship Id="rId64" Type="http://schemas.openxmlformats.org/officeDocument/2006/relationships/control" Target="activeX/activeX13.xml"/><Relationship Id="rId69" Type="http://schemas.openxmlformats.org/officeDocument/2006/relationships/control" Target="activeX/activeX16.xml"/><Relationship Id="rId77" Type="http://schemas.openxmlformats.org/officeDocument/2006/relationships/control" Target="activeX/activeX20.xml"/><Relationship Id="rId8" Type="http://schemas.openxmlformats.org/officeDocument/2006/relationships/hyperlink" Target="https://www.lexis.com/research/retrieve?_m=dd6457b5215e1b48510daf5a8898f9e9&amp;_browseType=TEXTONLY&amp;docnum=1&amp;_fmtstr=FULL&amp;_startdoc=1&amp;wchp=dGLzVlb-zSkAl&amp;_md5=f075cd1349b79a979be0e40ee000f4e1#r2" TargetMode="External"/><Relationship Id="rId51" Type="http://schemas.openxmlformats.org/officeDocument/2006/relationships/image" Target="media/image8.wmf"/><Relationship Id="rId72" Type="http://schemas.openxmlformats.org/officeDocument/2006/relationships/image" Target="media/image18.wmf"/><Relationship Id="rId80" Type="http://schemas.openxmlformats.org/officeDocument/2006/relationships/image" Target="media/image22.gif"/><Relationship Id="rId3" Type="http://schemas.openxmlformats.org/officeDocument/2006/relationships/webSettings" Target="webSettings.xml"/><Relationship Id="rId12" Type="http://schemas.openxmlformats.org/officeDocument/2006/relationships/hyperlink" Target="https://www.lexis.com/research/retrieve?_m=dd6457b5215e1b48510daf5a8898f9e9&amp;_browseType=TEXTONLY&amp;docnum=1&amp;_fmtstr=FULL&amp;_startdoc=1&amp;wchp=dGLzVlb-zSkAl&amp;_md5=f075cd1349b79a979be0e40ee000f4e1#r4" TargetMode="External"/><Relationship Id="rId17" Type="http://schemas.openxmlformats.org/officeDocument/2006/relationships/hyperlink" Target="http://www.csmonitor.com/USA/2010/0515/Gulf-spill-oil-driven-by-complex-ocean-currents-and-eddies" TargetMode="External"/><Relationship Id="rId25" Type="http://schemas.openxmlformats.org/officeDocument/2006/relationships/hyperlink" Target="http://houston.bizjournals.com/houston/stories/2010/04/26/daily6.html" TargetMode="External"/><Relationship Id="rId33" Type="http://schemas.openxmlformats.org/officeDocument/2006/relationships/hyperlink" Target="https://www.lexis.com/research/retrieve?_m=dd6457b5215e1b48510daf5a8898f9e9&amp;_browseType=TEXTONLY&amp;docnum=1&amp;_fmtstr=FULL&amp;_startdoc=1&amp;wchp=dGLzVlb-zSkAl&amp;_md5=f075cd1349b79a979be0e40ee000f4e1#r17" TargetMode="External"/><Relationship Id="rId38" Type="http://schemas.openxmlformats.org/officeDocument/2006/relationships/hyperlink" Target="https://www.lexis.com/research/retrieve?_m=dd6457b5215e1b48510daf5a8898f9e9&amp;_browseType=TEXTONLY&amp;docnum=1&amp;_fmtstr=FULL&amp;_startdoc=1&amp;wchp=dGLzVlb-zSkAl&amp;_md5=f075cd1349b79a979be0e40ee000f4e1#r22" TargetMode="External"/><Relationship Id="rId46" Type="http://schemas.openxmlformats.org/officeDocument/2006/relationships/control" Target="activeX/activeX4.xml"/><Relationship Id="rId59" Type="http://schemas.openxmlformats.org/officeDocument/2006/relationships/image" Target="media/image12.wmf"/><Relationship Id="rId67" Type="http://schemas.openxmlformats.org/officeDocument/2006/relationships/control" Target="activeX/activeX15.xml"/><Relationship Id="rId20" Type="http://schemas.openxmlformats.org/officeDocument/2006/relationships/hyperlink" Target="https://www.lexis.com/research/retrieve?_m=dd6457b5215e1b48510daf5a8898f9e9&amp;_browseType=TEXTONLY&amp;docnum=1&amp;_fmtstr=FULL&amp;_startdoc=1&amp;wchp=dGLzVlb-zSkAl&amp;_md5=f075cd1349b79a979be0e40ee000f4e1#r8" TargetMode="External"/><Relationship Id="rId41" Type="http://schemas.openxmlformats.org/officeDocument/2006/relationships/control" Target="activeX/activeX1.xml"/><Relationship Id="rId54" Type="http://schemas.openxmlformats.org/officeDocument/2006/relationships/control" Target="activeX/activeX8.xml"/><Relationship Id="rId62" Type="http://schemas.openxmlformats.org/officeDocument/2006/relationships/control" Target="activeX/activeX12.xml"/><Relationship Id="rId70" Type="http://schemas.openxmlformats.org/officeDocument/2006/relationships/image" Target="media/image17.wmf"/><Relationship Id="rId75"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hyperlink" Target="http://news.yahoo.com/s/nm/20100802/us_nm/us_oil_spill" TargetMode="External"/><Relationship Id="rId23" Type="http://schemas.openxmlformats.org/officeDocument/2006/relationships/hyperlink" Target="http://uk.reuters.com/article/idUKTRE66I0W720100719" TargetMode="External"/><Relationship Id="rId28" Type="http://schemas.openxmlformats.org/officeDocument/2006/relationships/hyperlink" Target="https://www.lexis.com/research/retrieve?_m=dd6457b5215e1b48510daf5a8898f9e9&amp;_browseType=TEXTONLY&amp;docnum=1&amp;_fmtstr=FULL&amp;_startdoc=1&amp;wchp=dGLzVlb-zSkAl&amp;_md5=f075cd1349b79a979be0e40ee000f4e1#r13" TargetMode="External"/><Relationship Id="rId36" Type="http://schemas.openxmlformats.org/officeDocument/2006/relationships/hyperlink" Target="https://www.lexis.com/research/retrieve?_m=dd6457b5215e1b48510daf5a8898f9e9&amp;_browseType=TEXTONLY&amp;docnum=1&amp;_fmtstr=FULL&amp;_startdoc=1&amp;wchp=dGLzVlb-zSkAl&amp;_md5=f075cd1349b79a979be0e40ee000f4e1#r20" TargetMode="External"/><Relationship Id="rId49" Type="http://schemas.openxmlformats.org/officeDocument/2006/relationships/image" Target="media/image7.wmf"/><Relationship Id="rId57" Type="http://schemas.openxmlformats.org/officeDocument/2006/relationships/image" Target="media/image1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4009</Words>
  <Characters>22854</Characters>
  <Application>Microsoft Office Word</Application>
  <DocSecurity>0</DocSecurity>
  <Lines>190</Lines>
  <Paragraphs>53</Paragraphs>
  <ScaleCrop>false</ScaleCrop>
  <Company>Reed Elsevier</Company>
  <LinksUpToDate>false</LinksUpToDate>
  <CharactersWithSpaces>26810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Wesig, Harriet (LNG-DAY)</dc:creator>
  <cp:keywords/>
  <dc:description/>
  <cp:lastModifiedBy>Wesig, Harriet (LNG-DAY)</cp:lastModifiedBy>
  <cp:revision>1</cp:revision>
  <dcterms:created xsi:type="dcterms:W3CDTF">2010-09-15T20:54:00Z</dcterms:created>
  <dcterms:modified xsi:type="dcterms:W3CDTF">2010-09-15T20:55:00Z</dcterms:modified>
</cp:coreProperties>
</file>